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6B7A90"/>
          <w:sz w:val="16"/>
          <w:szCs w:val="16"/>
        </w:rPr>
        <w:t xml:space="preserve">AJACE INC.  ·  ECHOMIND ENTERPRISE  ·  ISO 9001:2015 EVIDENCE</w:t>
      </w:r>
    </w:p>
    <w:p>
      <w:pPr>
        <w:pStyle w:val="Title"/>
        <w:pBdr>
          <w:bottom w:val="single" w:color="1F3A5F" w:sz="12" w:space="6"/>
        </w:pBdr>
        <w:spacing w:after="120"/>
      </w:pPr>
      <w:r>
        <w:rPr>
          <w:rFonts w:ascii="Calibri" w:cs="Calibri" w:eastAsia="Calibri" w:hAnsi="Calibri"/>
          <w:b/>
          <w:bCs/>
          <w:color w:val="1F3A5F"/>
          <w:sz w:val="34"/>
          <w:szCs w:val="34"/>
        </w:rPr>
        <w:t xml:space="preserve">EchoMind Enterprise – Privacy, Security &amp; Compliance Overview</w:t>
      </w:r>
    </w:p>
    <w:p>
      <w:pPr>
        <w:pStyle w:val="Heading1"/>
      </w:pPr>
      <w:r>
        <w:t xml:space="preserve">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Field</w:t>
            </w:r>
          </w:p>
        </w:tc>
        <w:tc>
          <w:tcPr>
            <w:tcW w:type="dxa" w:w="676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Value</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Document ID</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EM26-01</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Title</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EchoMind Enterprise – Privacy, Security &amp; Compliance Overview</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Version</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1.0</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Date</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2026-10-06</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Status</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DRAFT — not yet approved</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Product / area</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EchoMind Enterprise (repository RW2523/echomind-enterprise)</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Prepared by</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rFonts w:ascii="Consolas" w:cs="Consolas" w:eastAsia="Consolas" w:hAnsi="Consolas"/>
                <w:b w:val="false"/>
                <w:bCs w:val="false"/>
                <w:color w:val="222222"/>
                <w:sz w:val="15"/>
                <w:szCs w:val="15"/>
              </w:rPr>
              <w:t xml:space="preserve">________________</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Reviewed by</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rFonts w:ascii="Consolas" w:cs="Consolas" w:eastAsia="Consolas" w:hAnsi="Consolas"/>
                <w:b w:val="false"/>
                <w:bCs w:val="false"/>
                <w:color w:val="222222"/>
                <w:sz w:val="15"/>
                <w:szCs w:val="15"/>
              </w:rPr>
              <w:t xml:space="preserve">________________</w:t>
            </w:r>
          </w:p>
        </w:tc>
      </w:tr>
    </w:tbl>
    <w:p>
      <w:pPr>
        <w:pStyle w:val="Heading1"/>
      </w:pPr>
      <w:r>
        <w:t xml:space="preserve">Purpose</w:t>
      </w:r>
    </w:p>
    <w:p>
      <w:pPr>
        <w:spacing w:after="100"/>
      </w:pPr>
      <w:r>
        <w:t xml:space="preserve">Describe, accurately and as of 2026-10-06, how EchoMind Enterprise protects customer data — the 2026 counterpart of the 2025 overview prepared for a university pilot customer. Each area lists what is in place and what is not.</w:t>
      </w:r>
    </w:p>
    <w:p>
      <w:pPr>
        <w:pBdr>
          <w:left w:val="single" w:color="E0A800" w:sz="18" w:space="8"/>
        </w:pBdr>
        <w:shd w:fill="FFF8E1" w:color="auto" w:val="clear"/>
        <w:spacing w:after="160" w:before="120"/>
      </w:pPr>
      <w:r>
        <w:rPr>
          <w:sz w:val="19"/>
          <w:szCs w:val="19"/>
        </w:rPr>
        <w:t xml:space="preserve">Sources: SOP-11, REG-03, REG-04 and the tests executed on 2026-10-06. This is not a certification or attestation.</w:t>
      </w:r>
    </w:p>
    <w:p>
      <w:pPr>
        <w:pStyle w:val="Heading1"/>
      </w:pPr>
      <w:r>
        <w:t xml:space="preserve">Controls by area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000"/>
        <w:gridCol w:w="3360"/>
      </w:tblGrid>
      <w:tr>
        <w:trPr>
          <w:tblHeader/>
        </w:trPr>
        <w:tc>
          <w:tcPr>
            <w:tcW w:type="dxa" w:w="20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Area</w:t>
            </w:r>
          </w:p>
        </w:tc>
        <w:tc>
          <w:tcPr>
            <w:tcW w:type="dxa" w:w="40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In place</w:t>
            </w:r>
          </w:p>
        </w:tc>
        <w:tc>
          <w:tcPr>
            <w:tcW w:type="dxa" w:w="336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Not in place / open</w:t>
            </w:r>
          </w:p>
        </w:tc>
      </w:tr>
      <w:tr>
        <w:tc>
          <w:tcPr>
            <w:tcW w:type="dxa" w:w="20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Data protection &amp; privacy</w:t>
            </w:r>
          </w:p>
        </w:tc>
        <w:tc>
          <w:tcPr>
            <w:tcW w:type="dxa" w:w="40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All models served locally; no third-party AI APIs; no telemetry. Customer data stays on the customer's host (</w:t>
            </w:r>
            <w:r>
              <w:rPr>
                <w:rFonts w:ascii="Consolas" w:cs="Consolas" w:eastAsia="Consolas" w:hAnsi="Consolas"/>
                <w:b w:val="false"/>
                <w:bCs w:val="false"/>
                <w:color w:val="222222"/>
                <w:sz w:val="15"/>
                <w:szCs w:val="15"/>
              </w:rPr>
              <w:t xml:space="preserve">echomind_data</w:t>
            </w:r>
            <w:r>
              <w:rPr>
                <w:b w:val="false"/>
                <w:bCs w:val="false"/>
                <w:color w:val="222222"/>
                <w:sz w:val="17"/>
                <w:szCs w:val="17"/>
              </w:rPr>
              <w:t xml:space="preserve"> volume).</w:t>
            </w:r>
          </w:p>
        </w:tc>
        <w:tc>
          <w:tcPr>
            <w:tcW w:type="dxa" w:w="33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No encryption at rest; no data-retention policy (R-06, R-13).</w:t>
            </w:r>
          </w:p>
        </w:tc>
      </w:tr>
      <w:tr>
        <w:tc>
          <w:tcPr>
            <w:tcW w:type="dxa" w:w="20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Network security</w:t>
            </w:r>
          </w:p>
        </w:tc>
        <w:tc>
          <w:tcPr>
            <w:tcW w:type="dxa" w:w="40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Run-time offline (HF_HUB_OFFLINE=1). Public reference instance reached only through a Cloudflare Tunnel (no inbound ports).</w:t>
            </w:r>
          </w:p>
        </w:tc>
        <w:tc>
          <w:tcPr>
            <w:tcW w:type="dxa" w:w="33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CORS default </w:t>
            </w:r>
            <w:r>
              <w:rPr>
                <w:rFonts w:ascii="Consolas" w:cs="Consolas" w:eastAsia="Consolas" w:hAnsi="Consolas"/>
                <w:b w:val="false"/>
                <w:bCs w:val="false"/>
                <w:color w:val="222222"/>
                <w:sz w:val="15"/>
                <w:szCs w:val="15"/>
              </w:rPr>
              <w:t xml:space="preserve">*</w:t>
            </w:r>
            <w:r>
              <w:rPr>
                <w:b w:val="false"/>
                <w:bCs w:val="false"/>
                <w:color w:val="222222"/>
                <w:sz w:val="17"/>
                <w:szCs w:val="17"/>
              </w:rPr>
              <w:t xml:space="preserve">; rate limiting off by default.</w:t>
            </w:r>
          </w:p>
        </w:tc>
      </w:tr>
      <w:tr>
        <w:tc>
          <w:tcPr>
            <w:tcW w:type="dxa" w:w="20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Application security</w:t>
            </w:r>
          </w:p>
        </w:tc>
        <w:tc>
          <w:tcPr>
            <w:tcW w:type="dxa" w:w="40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Prompt-injection guards in all LLM prompts; PBKDF2-HMAC-SHA256 (200k) password hashing; export gateway for PII/secrets.</w:t>
            </w:r>
          </w:p>
        </w:tc>
        <w:tc>
          <w:tcPr>
            <w:tcW w:type="dxa" w:w="33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Fixed 2026-10-06: export key formats (NC-2026-015) and upload allow-list (NC-2026-013) — verified in run 4.</w:t>
            </w:r>
          </w:p>
        </w:tc>
      </w:tr>
      <w:tr>
        <w:tc>
          <w:tcPr>
            <w:tcW w:type="dxa" w:w="20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Access control &amp; authentication</w:t>
            </w:r>
          </w:p>
        </w:tc>
        <w:tc>
          <w:tcPr>
            <w:tcW w:type="dxa" w:w="40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Local accounts + JWT; RBAC (admin/user); voice WebSocket gated; login enabled on the reference instance since 2026-10-06 (verified externally).</w:t>
            </w:r>
          </w:p>
        </w:tc>
        <w:tc>
          <w:tcPr>
            <w:tcW w:type="dxa" w:w="33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Auth off by default for new deployments; backend WebSockets outside the HTTP guard (D3). Logout revocation fixed 2026-10-06 (NC-2026-012).</w:t>
            </w:r>
          </w:p>
        </w:tc>
      </w:tr>
      <w:tr>
        <w:tc>
          <w:tcPr>
            <w:tcW w:type="dxa" w:w="20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Logging, monitoring &amp; incident response</w:t>
            </w:r>
          </w:p>
        </w:tc>
        <w:tc>
          <w:tcPr>
            <w:tcW w:type="dxa" w:w="40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Activity log (user, path, status, IP); bounded container logs; incidents handled under SOP-10 and REG-04.</w:t>
            </w:r>
          </w:p>
        </w:tc>
        <w:tc>
          <w:tcPr>
            <w:tcW w:type="dxa" w:w="33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Activity logging is best-effort; no external uptime/gate monitoring yet.</w:t>
            </w:r>
          </w:p>
        </w:tc>
      </w:tr>
      <w:tr>
        <w:tc>
          <w:tcPr>
            <w:tcW w:type="dxa" w:w="20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Physical &amp; environmental</w:t>
            </w:r>
          </w:p>
        </w:tc>
        <w:tc>
          <w:tcPr>
            <w:tcW w:type="dxa" w:w="40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On-premises deployment: physical security is the customer's (reference instance: NVIDIA DGX Spark at Ajace).</w:t>
            </w:r>
          </w:p>
        </w:tc>
        <w:tc>
          <w:tcPr>
            <w:tcW w:type="dxa" w:w="33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w:t>
            </w:r>
          </w:p>
        </w:tc>
      </w:tr>
      <w:tr>
        <w:tc>
          <w:tcPr>
            <w:tcW w:type="dxa" w:w="20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Backup &amp; disaster recovery</w:t>
            </w:r>
          </w:p>
        </w:tc>
        <w:tc>
          <w:tcPr>
            <w:tcW w:type="dxa" w:w="40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Backup/restore scripts; restore verified 2026-09-22; archive checksum verified 2026-10-06.</w:t>
            </w:r>
          </w:p>
        </w:tc>
        <w:tc>
          <w:tcPr>
            <w:tcW w:type="dxa" w:w="33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Nightly off-host schedule built but not installed; last backup 2026-09-22.</w:t>
            </w:r>
          </w:p>
        </w:tc>
      </w:tr>
      <w:tr>
        <w:tc>
          <w:tcPr>
            <w:tcW w:type="dxa" w:w="20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Compliance &amp; policies</w:t>
            </w:r>
          </w:p>
        </w:tc>
        <w:tc>
          <w:tcPr>
            <w:tcW w:type="dxa" w:w="40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ISO 9001 QMS documented (docs/qms, DRAFT); defects and CAPA logged (REG-04).</w:t>
            </w:r>
          </w:p>
        </w:tc>
        <w:tc>
          <w:tcPr>
            <w:tcW w:type="dxa" w:w="33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No SOC 2 / HIPAA certification claimed; model licences unverified (C1–C3).</w:t>
            </w:r>
          </w:p>
        </w:tc>
      </w:tr>
    </w:tbl>
    <w:p>
      <w:pPr>
        <w:spacing w:after="120"/>
      </w:pPr>
    </w:p>
    <w:p>
      <w:pPr>
        <w:pStyle w:val="Heading1"/>
      </w:pPr>
      <w:r>
        <w:t xml:space="preserve">Data privacy and PII statement</w:t>
      </w:r>
    </w:p>
    <w:p>
      <w:pPr>
        <w:spacing w:after="100"/>
      </w:pPr>
      <w:r>
        <w:t xml:space="preserve">EchoMind Enterprise processes documents, transcripts, audio and chat messages supplied by the customer, entirely on the customer's hardware. Ajace AI does not receive this data. Retention periods are not yet defined (decision B3).</w:t>
      </w:r>
    </w:p>
    <w:p>
      <w:pPr>
        <w:pStyle w:val="Heading1"/>
      </w:pPr>
      <w:r>
        <w:t xml:space="preserve">Verification and approval</w:t>
      </w:r>
    </w:p>
    <w:p>
      <w:pPr>
        <w:spacing w:after="100"/>
        <w:rPr>
          <w:i/>
          <w:iCs/>
          <w:color w:val="555555"/>
          <w:sz w:val="18"/>
          <w:szCs w:val="18"/>
        </w:rPr>
      </w:pPr>
      <w:r>
        <w:rPr>
          <w:i/>
          <w:iCs/>
          <w:color w:val="555555"/>
          <w:sz w:val="18"/>
          <w:szCs w:val="18"/>
        </w:rPr>
        <w:t xml:space="preserve">Completed by the named people themselves. Never pre-filled or back-dated (SOP-01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800"/>
        <w:gridCol w:w="2600"/>
        <w:gridCol w:w="1760"/>
      </w:tblGrid>
      <w:tr>
        <w:trPr>
          <w:tblHeader/>
        </w:trPr>
        <w:tc>
          <w:tcPr>
            <w:tcW w:type="dxa" w:w="22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Role</w:t>
            </w:r>
          </w:p>
        </w:tc>
        <w:tc>
          <w:tcPr>
            <w:tcW w:type="dxa" w:w="28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Name</w:t>
            </w:r>
          </w:p>
        </w:tc>
        <w:tc>
          <w:tcPr>
            <w:tcW w:type="dxa" w:w="26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Signature</w:t>
            </w:r>
          </w:p>
        </w:tc>
        <w:tc>
          <w:tcPr>
            <w:tcW w:type="dxa" w:w="176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Date</w:t>
            </w:r>
          </w:p>
        </w:tc>
      </w:tr>
      <w:tr>
        <w:tc>
          <w:tcPr>
            <w:tcW w:type="dxa" w:w="2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Prepared by</w:t>
            </w:r>
          </w:p>
        </w:tc>
        <w:tc>
          <w:tcPr>
            <w:tcW w:type="dxa" w:w="2800"/>
            <w:tcBorders>
              <w:top w:val="single" w:color="BFC7D5" w:sz="4"/>
              <w:left w:val="single" w:color="BFC7D5" w:sz="4"/>
              <w:bottom w:val="single" w:color="BFC7D5" w:sz="4"/>
              <w:right w:val="single" w:color="BFC7D5" w:sz="4"/>
            </w:tcBorders>
            <w:tcMar>
              <w:top w:type="dxa" w:w="60"/>
              <w:left w:type="dxa" w:w="90"/>
              <w:bottom w:type="dxa" w:w="60"/>
              <w:right w:type="dxa" w:w="90"/>
            </w:tcMar>
          </w:tcPr>
          <w:p/>
        </w:tc>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tc>
        <w:tc>
          <w:tcPr>
            <w:tcW w:type="dxa" w:w="1760"/>
            <w:tcBorders>
              <w:top w:val="single" w:color="BFC7D5" w:sz="4"/>
              <w:left w:val="single" w:color="BFC7D5" w:sz="4"/>
              <w:bottom w:val="single" w:color="BFC7D5" w:sz="4"/>
              <w:right w:val="single" w:color="BFC7D5" w:sz="4"/>
            </w:tcBorders>
            <w:tcMar>
              <w:top w:type="dxa" w:w="60"/>
              <w:left w:type="dxa" w:w="90"/>
              <w:bottom w:type="dxa" w:w="60"/>
              <w:right w:type="dxa" w:w="90"/>
            </w:tcMar>
          </w:tcPr>
          <w:p/>
        </w:tc>
      </w:tr>
      <w:tr>
        <w:tc>
          <w:tcPr>
            <w:tcW w:type="dxa" w:w="2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Reviewed by</w:t>
            </w:r>
          </w:p>
        </w:tc>
        <w:tc>
          <w:tcPr>
            <w:tcW w:type="dxa" w:w="2800"/>
            <w:tcBorders>
              <w:top w:val="single" w:color="BFC7D5" w:sz="4"/>
              <w:left w:val="single" w:color="BFC7D5" w:sz="4"/>
              <w:bottom w:val="single" w:color="BFC7D5" w:sz="4"/>
              <w:right w:val="single" w:color="BFC7D5" w:sz="4"/>
            </w:tcBorders>
            <w:tcMar>
              <w:top w:type="dxa" w:w="60"/>
              <w:left w:type="dxa" w:w="90"/>
              <w:bottom w:type="dxa" w:w="60"/>
              <w:right w:type="dxa" w:w="90"/>
            </w:tcMar>
          </w:tcPr>
          <w:p/>
        </w:tc>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tc>
        <w:tc>
          <w:tcPr>
            <w:tcW w:type="dxa" w:w="1760"/>
            <w:tcBorders>
              <w:top w:val="single" w:color="BFC7D5" w:sz="4"/>
              <w:left w:val="single" w:color="BFC7D5" w:sz="4"/>
              <w:bottom w:val="single" w:color="BFC7D5" w:sz="4"/>
              <w:right w:val="single" w:color="BFC7D5" w:sz="4"/>
            </w:tcBorders>
            <w:tcMar>
              <w:top w:type="dxa" w:w="60"/>
              <w:left w:type="dxa" w:w="90"/>
              <w:bottom w:type="dxa" w:w="60"/>
              <w:right w:type="dxa" w:w="90"/>
            </w:tcMar>
          </w:tcPr>
          <w:p/>
        </w:tc>
      </w:tr>
      <w:tr>
        <w:tc>
          <w:tcPr>
            <w:tcW w:type="dxa" w:w="2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Approved by</w:t>
            </w:r>
          </w:p>
        </w:tc>
        <w:tc>
          <w:tcPr>
            <w:tcW w:type="dxa" w:w="2800"/>
            <w:tcBorders>
              <w:top w:val="single" w:color="BFC7D5" w:sz="4"/>
              <w:left w:val="single" w:color="BFC7D5" w:sz="4"/>
              <w:bottom w:val="single" w:color="BFC7D5" w:sz="4"/>
              <w:right w:val="single" w:color="BFC7D5" w:sz="4"/>
            </w:tcBorders>
            <w:tcMar>
              <w:top w:type="dxa" w:w="60"/>
              <w:left w:type="dxa" w:w="90"/>
              <w:bottom w:type="dxa" w:w="60"/>
              <w:right w:type="dxa" w:w="90"/>
            </w:tcMar>
          </w:tcPr>
          <w:p/>
        </w:tc>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tc>
        <w:tc>
          <w:tcPr>
            <w:tcW w:type="dxa" w:w="1760"/>
            <w:tcBorders>
              <w:top w:val="single" w:color="BFC7D5" w:sz="4"/>
              <w:left w:val="single" w:color="BFC7D5" w:sz="4"/>
              <w:bottom w:val="single" w:color="BFC7D5" w:sz="4"/>
              <w:right w:val="single" w:color="BFC7D5" w:sz="4"/>
            </w:tcBorders>
            <w:tcMar>
              <w:top w:type="dxa" w:w="60"/>
              <w:left w:type="dxa" w:w="90"/>
              <w:bottom w:type="dxa" w:w="60"/>
              <w:right w:type="dxa" w:w="90"/>
            </w:tcMar>
          </w:tcPr>
          <w:p/>
        </w:tc>
      </w:tr>
    </w:tbl>
    <w:sectPr>
      <w:headerReference w:type="default" r:id="rId6"/>
      <w:footerReference w:type="default" r:id="rId7"/>
      <w:pgSz w:w="12240" w:h="15840" w:orient="portrait"/>
      <w:pgMar w:top="1300" w:right="1440" w:bottom="120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color w:val="8A94A6"/>
        <w:sz w:val="15"/>
        <w:szCs w:val="15"/>
      </w:rPr>
      <w:t xml:space="preserve">Controlled in docs/qms (git). Uncontrolled when printed.</w:t>
    </w:r>
    <w:r>
      <w:rPr>
        <w:color w:val="8A94A6"/>
        <w:sz w:val="15"/>
        <w:szCs w:val="15"/>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7D5" w:sz="4" w:space="4"/>
      </w:pBdr>
      <w:tabs>
        <w:tab w:val="right" w:pos="9360"/>
      </w:tabs>
    </w:pPr>
    <w:r>
      <w:rPr>
        <w:color w:val="6B7A90"/>
        <w:sz w:val="16"/>
        <w:szCs w:val="16"/>
      </w:rPr>
      <w:t xml:space="preserve">Ajace Inc. — EchoMind Enterprise</w:t>
    </w:r>
    <w:r>
      <w:rPr>
        <w:b/>
        <w:bCs/>
        <w:color w:val="6B7A90"/>
        <w:sz w:val="16"/>
        <w:szCs w:val="16"/>
      </w:rPr>
      <w:t xml:space="preserve">	EM26-01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80"/>
      <w:outlineLvl w:val="0"/>
    </w:pPr>
    <w:rPr>
      <w:rFonts w:ascii="Calibri" w:cs="Calibri" w:eastAsia="Calibri" w:hAnsi="Calibri"/>
      <w:b/>
      <w:bCs/>
      <w:color w:val="1F3A5F"/>
      <w:sz w:val="26"/>
      <w:szCs w:val="26"/>
    </w:rPr>
  </w:style>
  <w:style w:type="paragraph" w:styleId="Heading2">
    <w:name w:val="Heading 2"/>
    <w:basedOn w:val="Normal"/>
    <w:next w:val="Normal"/>
    <w:qFormat/>
    <w:pPr>
      <w:spacing w:after="80" w:before="200"/>
      <w:outlineLvl w:val="1"/>
    </w:pPr>
    <w:rPr>
      <w:rFonts w:ascii="Calibri" w:cs="Calibri" w:eastAsia="Calibri" w:hAnsi="Calibri"/>
      <w:b/>
      <w:bCs/>
      <w:color w:val="34507A"/>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EchoMind Enterprise – Privacy, Security &amp; Compliance Overview</dc:title>
  <dc:creator>Ajace Inc. — EchoMind QMS</dc:creator>
  <cp:lastModifiedBy>Un-named</cp:lastModifiedBy>
  <cp:revision>1</cp:revision>
  <dcterms:created xsi:type="dcterms:W3CDTF">2026-10-07T01:46:37.342Z</dcterms:created>
  <dcterms:modified xsi:type="dcterms:W3CDTF">2026-10-07T01:46:37.342Z</dcterms:modified>
</cp:coreProperties>
</file>

<file path=docProps/custom.xml><?xml version="1.0" encoding="utf-8"?>
<Properties xmlns="http://schemas.openxmlformats.org/officeDocument/2006/custom-properties" xmlns:vt="http://schemas.openxmlformats.org/officeDocument/2006/docPropsVTypes"/>
</file>