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283"/>
        <w:jc w:val="left"/>
        <w:rPr/>
      </w:pPr>
      <w:r>
        <w:rPr/>
        <w:t>ISO 9001:2015 — Gap Analysis and Readiness Assessment</w:t>
      </w:r>
    </w:p>
    <w:tbl>
      <w:tblPr>
        <w:tblW w:w="9467" w:type="dxa"/>
        <w:jc w:val="left"/>
        <w:tblInd w:w="0" w:type="dxa"/>
        <w:tblLayout w:type="fixed"/>
        <w:tblCellMar>
          <w:top w:w="28" w:type="dxa"/>
          <w:left w:w="28" w:type="dxa"/>
          <w:bottom w:w="28" w:type="dxa"/>
          <w:right w:w="28" w:type="dxa"/>
        </w:tblCellMar>
      </w:tblPr>
      <w:tblGrid>
        <w:gridCol w:w="1156"/>
        <w:gridCol w:w="8311"/>
      </w:tblGrid>
      <w:tr>
        <w:trPr>
          <w:tblHeader w:val="true"/>
        </w:trPr>
        <w:tc>
          <w:tcPr>
            <w:tcW w:w="1156" w:type="dxa"/>
            <w:tcBorders/>
            <w:vAlign w:val="center"/>
          </w:tcPr>
          <w:p>
            <w:pPr>
              <w:pStyle w:val="TableHeading"/>
              <w:suppressLineNumbers/>
              <w:shd w:fill="1F3A5F" w:val="clear"/>
              <w:bidi w:val="0"/>
              <w:spacing w:before="0" w:after="283"/>
              <w:jc w:val="center"/>
              <w:rPr/>
            </w:pPr>
            <w:r>
              <w:rPr/>
              <w:t>Field</w:t>
            </w:r>
          </w:p>
        </w:tc>
        <w:tc>
          <w:tcPr>
            <w:tcW w:w="8311" w:type="dxa"/>
            <w:tcBorders/>
            <w:vAlign w:val="center"/>
          </w:tcPr>
          <w:p>
            <w:pPr>
              <w:pStyle w:val="TableHeading"/>
              <w:suppressLineNumbers/>
              <w:shd w:fill="1F3A5F" w:val="clear"/>
              <w:bidi w:val="0"/>
              <w:spacing w:before="0" w:after="283"/>
              <w:jc w:val="center"/>
              <w:rPr/>
            </w:pPr>
            <w:r>
              <w:rPr/>
              <w:t>Value</w:t>
            </w:r>
          </w:p>
        </w:tc>
      </w:tr>
      <w:tr>
        <w:trPr/>
        <w:tc>
          <w:tcPr>
            <w:tcW w:w="1156" w:type="dxa"/>
            <w:tcBorders/>
            <w:vAlign w:val="center"/>
          </w:tcPr>
          <w:p>
            <w:pPr>
              <w:pStyle w:val="TableContents"/>
              <w:bidi w:val="0"/>
              <w:spacing w:before="0" w:after="283"/>
              <w:jc w:val="left"/>
              <w:rPr/>
            </w:pPr>
            <w:r>
              <w:rPr/>
              <w:t>Document ID</w:t>
            </w:r>
          </w:p>
        </w:tc>
        <w:tc>
          <w:tcPr>
            <w:tcW w:w="8311" w:type="dxa"/>
            <w:tcBorders/>
            <w:vAlign w:val="center"/>
          </w:tcPr>
          <w:p>
            <w:pPr>
              <w:pStyle w:val="TableContents"/>
              <w:bidi w:val="0"/>
              <w:spacing w:before="0" w:after="283"/>
              <w:jc w:val="left"/>
              <w:rPr/>
            </w:pPr>
            <w:r>
              <w:rPr/>
              <w:t>GAP-01</w:t>
            </w:r>
          </w:p>
        </w:tc>
      </w:tr>
      <w:tr>
        <w:trPr/>
        <w:tc>
          <w:tcPr>
            <w:tcW w:w="1156" w:type="dxa"/>
            <w:tcBorders/>
            <w:vAlign w:val="center"/>
          </w:tcPr>
          <w:p>
            <w:pPr>
              <w:pStyle w:val="TableContents"/>
              <w:bidi w:val="0"/>
              <w:spacing w:before="0" w:after="283"/>
              <w:jc w:val="left"/>
              <w:rPr/>
            </w:pPr>
            <w:r>
              <w:rPr/>
              <w:t>Revision</w:t>
            </w:r>
          </w:p>
        </w:tc>
        <w:tc>
          <w:tcPr>
            <w:tcW w:w="8311" w:type="dxa"/>
            <w:tcBorders/>
            <w:vAlign w:val="center"/>
          </w:tcPr>
          <w:p>
            <w:pPr>
              <w:pStyle w:val="TableContents"/>
              <w:bidi w:val="0"/>
              <w:spacing w:before="0" w:after="283"/>
              <w:jc w:val="left"/>
              <w:rPr/>
            </w:pPr>
            <w:r>
              <w:rPr/>
              <w:t>1.0</w:t>
            </w:r>
          </w:p>
        </w:tc>
      </w:tr>
      <w:tr>
        <w:trPr/>
        <w:tc>
          <w:tcPr>
            <w:tcW w:w="1156" w:type="dxa"/>
            <w:tcBorders/>
            <w:vAlign w:val="center"/>
          </w:tcPr>
          <w:p>
            <w:pPr>
              <w:pStyle w:val="TableContents"/>
              <w:bidi w:val="0"/>
              <w:spacing w:before="0" w:after="283"/>
              <w:jc w:val="left"/>
              <w:rPr/>
            </w:pPr>
            <w:r>
              <w:rPr/>
              <w:t>Status</w:t>
            </w:r>
          </w:p>
        </w:tc>
        <w:tc>
          <w:tcPr>
            <w:tcW w:w="8311" w:type="dxa"/>
            <w:tcBorders/>
            <w:vAlign w:val="center"/>
          </w:tcPr>
          <w:p>
            <w:pPr>
              <w:pStyle w:val="TableContents"/>
              <w:bidi w:val="0"/>
              <w:spacing w:before="0" w:after="283"/>
              <w:jc w:val="left"/>
              <w:rPr/>
            </w:pPr>
            <w:r>
              <w:rPr>
                <w:rStyle w:val="Strong"/>
              </w:rPr>
              <w:t xml:space="preserve">Assessment — accurate as at 2026-09-21, HEAD </w:t>
            </w:r>
            <w:r>
              <w:rPr>
                <w:rStyle w:val="SourceText"/>
              </w:rPr>
              <w:t>ff29843</w:t>
            </w:r>
          </w:p>
        </w:tc>
      </w:tr>
      <w:tr>
        <w:trPr/>
        <w:tc>
          <w:tcPr>
            <w:tcW w:w="1156" w:type="dxa"/>
            <w:tcBorders/>
            <w:vAlign w:val="center"/>
          </w:tcPr>
          <w:p>
            <w:pPr>
              <w:pStyle w:val="TableContents"/>
              <w:bidi w:val="0"/>
              <w:spacing w:before="0" w:after="283"/>
              <w:jc w:val="left"/>
              <w:rPr/>
            </w:pPr>
            <w:r>
              <w:rPr/>
              <w:t>Assessed by</w:t>
            </w:r>
          </w:p>
        </w:tc>
        <w:tc>
          <w:tcPr>
            <w:tcW w:w="8311" w:type="dxa"/>
            <w:tcBorders/>
            <w:vAlign w:val="center"/>
          </w:tcPr>
          <w:p>
            <w:pPr>
              <w:pStyle w:val="TableContents"/>
              <w:bidi w:val="0"/>
              <w:spacing w:before="0" w:after="283"/>
              <w:jc w:val="left"/>
              <w:rPr/>
            </w:pPr>
            <w:r>
              <w:rPr/>
              <w:t>Documentation review of the repository against ISO 9001:2015 clauses 4–10</w:t>
            </w:r>
          </w:p>
        </w:tc>
      </w:tr>
      <w:tr>
        <w:trPr/>
        <w:tc>
          <w:tcPr>
            <w:tcW w:w="1156" w:type="dxa"/>
            <w:tcBorders/>
            <w:vAlign w:val="center"/>
          </w:tcPr>
          <w:p>
            <w:pPr>
              <w:pStyle w:val="TableContents"/>
              <w:bidi w:val="0"/>
              <w:spacing w:before="0" w:after="283"/>
              <w:jc w:val="left"/>
              <w:rPr/>
            </w:pPr>
            <w:r>
              <w:rPr/>
              <w:t>Method</w:t>
            </w:r>
          </w:p>
        </w:tc>
        <w:tc>
          <w:tcPr>
            <w:tcW w:w="8311" w:type="dxa"/>
            <w:tcBorders/>
            <w:vAlign w:val="center"/>
          </w:tcPr>
          <w:p>
            <w:pPr>
              <w:pStyle w:val="TableContents"/>
              <w:bidi w:val="0"/>
              <w:spacing w:before="0" w:after="283"/>
              <w:jc w:val="left"/>
              <w:rPr/>
            </w:pPr>
            <w:r>
              <w:rPr/>
              <w:t>Evidence-based: every finding cites a file, a command output or the demonstrable absence of an artefact</w:t>
            </w:r>
          </w:p>
        </w:tc>
      </w:tr>
      <w:tr>
        <w:trPr/>
        <w:tc>
          <w:tcPr>
            <w:tcW w:w="1156" w:type="dxa"/>
            <w:tcBorders/>
            <w:vAlign w:val="center"/>
          </w:tcPr>
          <w:p>
            <w:pPr>
              <w:pStyle w:val="TableContents"/>
              <w:bidi w:val="0"/>
              <w:spacing w:before="0" w:after="283"/>
              <w:jc w:val="left"/>
              <w:rPr/>
            </w:pPr>
            <w:r>
              <w:rPr/>
              <w:t>Owner</w:t>
            </w:r>
          </w:p>
        </w:tc>
        <w:tc>
          <w:tcPr>
            <w:tcW w:w="8311" w:type="dxa"/>
            <w:tcBorders/>
            <w:vAlign w:val="center"/>
          </w:tcPr>
          <w:p>
            <w:pPr>
              <w:pStyle w:val="TableContents"/>
              <w:bidi w:val="0"/>
              <w:spacing w:before="0" w:after="283"/>
              <w:jc w:val="left"/>
              <w:rPr/>
            </w:pPr>
            <w:r>
              <w:rPr/>
              <w:t>Managing Director</w:t>
            </w:r>
          </w:p>
        </w:tc>
      </w:tr>
    </w:tbl>
    <w:p>
      <w:pPr>
        <w:pStyle w:val="HorizontalLine"/>
        <w:bidi w:val="0"/>
        <w:jc w:val="left"/>
        <w:rPr/>
      </w:pPr>
      <w:r>
        <w:rPr/>
      </w:r>
    </w:p>
    <w:p>
      <w:pPr>
        <w:pStyle w:val="Heading2"/>
        <w:bidi w:val="0"/>
        <w:jc w:val="left"/>
        <w:rPr/>
      </w:pPr>
      <w:r>
        <w:rPr/>
        <w:t>1. Summary</w:t>
      </w:r>
    </w:p>
    <w:p>
      <w:pPr>
        <w:pStyle w:val="BodyText"/>
        <w:bidi w:val="0"/>
        <w:jc w:val="left"/>
        <w:rPr/>
      </w:pPr>
      <w:r>
        <w:rPr>
          <w:rStyle w:val="Strong"/>
        </w:rPr>
        <w:t>Readiness for certification audit today: not ready.</w:t>
      </w:r>
      <w:r>
        <w:rPr/>
        <w:t xml:space="preserve"> The management system is documented but not operating — nothing approved, no audit, no management review. That alone is a major nonconformity against clauses 9.2 and 9.3 regardless of anything else.</w:t>
      </w:r>
    </w:p>
    <w:p>
      <w:pPr>
        <w:pStyle w:val="BodyText"/>
        <w:bidi w:val="0"/>
        <w:jc w:val="left"/>
        <w:rPr/>
      </w:pPr>
      <w:r>
        <w:rPr>
          <w:rStyle w:val="Strong"/>
        </w:rPr>
        <w:t>Readiness of the underlying engineering practice: better than the paperwork suggests.</w:t>
      </w:r>
      <w:r>
        <w:rPr/>
        <w:t xml:space="preserve"> The product has a version-controlled 52-question evaluation suite with a binary pass gate, 78 unit test functions, a second research-grade evaluation harness whose results contradict the organisation's own published claims where the measurements say so, and commit records that routinely carry root cause and verification. Several ISO 9001 clauses are substantially satisfied in substance and fail only on the record-keeping.</w:t>
      </w:r>
    </w:p>
    <w:p>
      <w:pPr>
        <w:pStyle w:val="BodyText"/>
        <w:bidi w:val="0"/>
        <w:jc w:val="left"/>
        <w:rPr/>
      </w:pPr>
      <w:r>
        <w:rPr/>
        <w:t>The gaps cluster in three places, in order of severity:</w:t>
      </w:r>
    </w:p>
    <w:tbl>
      <w:tblPr>
        <w:tblW w:w="8763" w:type="dxa"/>
        <w:jc w:val="left"/>
        <w:tblInd w:w="0" w:type="dxa"/>
        <w:tblLayout w:type="fixed"/>
        <w:tblCellMar>
          <w:top w:w="28" w:type="dxa"/>
          <w:left w:w="28" w:type="dxa"/>
          <w:bottom w:w="28" w:type="dxa"/>
          <w:right w:w="28" w:type="dxa"/>
        </w:tblCellMar>
      </w:tblPr>
      <w:tblGrid>
        <w:gridCol w:w="3211"/>
        <w:gridCol w:w="1816"/>
        <w:gridCol w:w="3736"/>
      </w:tblGrid>
      <w:tr>
        <w:trPr>
          <w:tblHeader w:val="true"/>
        </w:trPr>
        <w:tc>
          <w:tcPr>
            <w:tcW w:w="3211" w:type="dxa"/>
            <w:tcBorders/>
            <w:vAlign w:val="center"/>
          </w:tcPr>
          <w:p>
            <w:pPr>
              <w:pStyle w:val="TableHeading"/>
              <w:suppressLineNumbers/>
              <w:shd w:fill="1F3A5F" w:val="clear"/>
              <w:bidi w:val="0"/>
              <w:spacing w:before="0" w:after="283"/>
              <w:jc w:val="center"/>
              <w:rPr/>
            </w:pPr>
            <w:r>
              <w:rPr/>
              <w:t>Cluster</w:t>
            </w:r>
          </w:p>
        </w:tc>
        <w:tc>
          <w:tcPr>
            <w:tcW w:w="1816" w:type="dxa"/>
            <w:tcBorders/>
            <w:vAlign w:val="center"/>
          </w:tcPr>
          <w:p>
            <w:pPr>
              <w:pStyle w:val="TableHeading"/>
              <w:suppressLineNumbers/>
              <w:shd w:fill="1F3A5F" w:val="clear"/>
              <w:bidi w:val="0"/>
              <w:spacing w:before="0" w:after="283"/>
              <w:jc w:val="center"/>
              <w:rPr/>
            </w:pPr>
            <w:r>
              <w:rPr/>
              <w:t>Clauses</w:t>
            </w:r>
          </w:p>
        </w:tc>
        <w:tc>
          <w:tcPr>
            <w:tcW w:w="3736" w:type="dxa"/>
            <w:tcBorders/>
            <w:vAlign w:val="center"/>
          </w:tcPr>
          <w:p>
            <w:pPr>
              <w:pStyle w:val="TableHeading"/>
              <w:suppressLineNumbers/>
              <w:shd w:fill="1F3A5F" w:val="clear"/>
              <w:bidi w:val="0"/>
              <w:spacing w:before="0" w:after="283"/>
              <w:jc w:val="center"/>
              <w:rPr/>
            </w:pPr>
            <w:r>
              <w:rPr/>
              <w:t>Nature</w:t>
            </w:r>
          </w:p>
        </w:tc>
      </w:tr>
      <w:tr>
        <w:trPr/>
        <w:tc>
          <w:tcPr>
            <w:tcW w:w="3211" w:type="dxa"/>
            <w:tcBorders/>
            <w:vAlign w:val="center"/>
          </w:tcPr>
          <w:p>
            <w:pPr>
              <w:pStyle w:val="TableContents"/>
              <w:bidi w:val="0"/>
              <w:spacing w:before="0" w:after="283"/>
              <w:jc w:val="left"/>
              <w:rPr/>
            </w:pPr>
            <w:r>
              <w:rPr>
                <w:rStyle w:val="Strong"/>
              </w:rPr>
              <w:t>A. The QMS is not operating</w:t>
            </w:r>
          </w:p>
        </w:tc>
        <w:tc>
          <w:tcPr>
            <w:tcW w:w="1816" w:type="dxa"/>
            <w:tcBorders/>
            <w:vAlign w:val="center"/>
          </w:tcPr>
          <w:p>
            <w:pPr>
              <w:pStyle w:val="TableContents"/>
              <w:bidi w:val="0"/>
              <w:spacing w:before="0" w:after="283"/>
              <w:jc w:val="left"/>
              <w:rPr/>
            </w:pPr>
            <w:r>
              <w:rPr/>
              <w:t>5.2, 6.2, 9.2, 9.3, 10.2</w:t>
            </w:r>
          </w:p>
        </w:tc>
        <w:tc>
          <w:tcPr>
            <w:tcW w:w="3736" w:type="dxa"/>
            <w:tcBorders/>
            <w:vAlign w:val="center"/>
          </w:tcPr>
          <w:p>
            <w:pPr>
              <w:pStyle w:val="TableContents"/>
              <w:bidi w:val="0"/>
              <w:spacing w:before="0" w:after="283"/>
              <w:jc w:val="left"/>
              <w:rPr/>
            </w:pPr>
            <w:r>
              <w:rPr/>
              <w:t>Documented, never run</w:t>
            </w:r>
          </w:p>
        </w:tc>
      </w:tr>
      <w:tr>
        <w:trPr/>
        <w:tc>
          <w:tcPr>
            <w:tcW w:w="3211" w:type="dxa"/>
            <w:tcBorders/>
            <w:vAlign w:val="center"/>
          </w:tcPr>
          <w:p>
            <w:pPr>
              <w:pStyle w:val="TableContents"/>
              <w:bidi w:val="0"/>
              <w:spacing w:before="0" w:after="283"/>
              <w:jc w:val="left"/>
              <w:rPr/>
            </w:pPr>
            <w:r>
              <w:rPr>
                <w:rStyle w:val="Strong"/>
              </w:rPr>
              <w:t>B. Release and configuration control</w:t>
            </w:r>
          </w:p>
        </w:tc>
        <w:tc>
          <w:tcPr>
            <w:tcW w:w="1816" w:type="dxa"/>
            <w:tcBorders/>
            <w:vAlign w:val="center"/>
          </w:tcPr>
          <w:p>
            <w:pPr>
              <w:pStyle w:val="TableContents"/>
              <w:bidi w:val="0"/>
              <w:spacing w:before="0" w:after="283"/>
              <w:jc w:val="left"/>
              <w:rPr/>
            </w:pPr>
            <w:r>
              <w:rPr/>
              <w:t>8.5.2, 8.5.6, 8.6</w:t>
            </w:r>
          </w:p>
        </w:tc>
        <w:tc>
          <w:tcPr>
            <w:tcW w:w="3736" w:type="dxa"/>
            <w:tcBorders/>
            <w:vAlign w:val="center"/>
          </w:tcPr>
          <w:p>
            <w:pPr>
              <w:pStyle w:val="TableContents"/>
              <w:bidi w:val="0"/>
              <w:spacing w:before="0" w:after="283"/>
              <w:jc w:val="left"/>
              <w:rPr/>
            </w:pPr>
            <w:r>
              <w:rPr/>
              <w:t>No versioning, no traceability, no enforcement</w:t>
            </w:r>
          </w:p>
        </w:tc>
      </w:tr>
      <w:tr>
        <w:trPr/>
        <w:tc>
          <w:tcPr>
            <w:tcW w:w="3211" w:type="dxa"/>
            <w:tcBorders/>
            <w:vAlign w:val="center"/>
          </w:tcPr>
          <w:p>
            <w:pPr>
              <w:pStyle w:val="TableContents"/>
              <w:bidi w:val="0"/>
              <w:spacing w:before="0" w:after="283"/>
              <w:jc w:val="left"/>
              <w:rPr/>
            </w:pPr>
            <w:r>
              <w:rPr>
                <w:rStyle w:val="Strong"/>
              </w:rPr>
              <w:t>C. Customer data lifecycle</w:t>
            </w:r>
          </w:p>
        </w:tc>
        <w:tc>
          <w:tcPr>
            <w:tcW w:w="1816" w:type="dxa"/>
            <w:tcBorders/>
            <w:vAlign w:val="center"/>
          </w:tcPr>
          <w:p>
            <w:pPr>
              <w:pStyle w:val="TableContents"/>
              <w:bidi w:val="0"/>
              <w:spacing w:before="0" w:after="283"/>
              <w:jc w:val="left"/>
              <w:rPr/>
            </w:pPr>
            <w:r>
              <w:rPr/>
              <w:t>8.5.3, 8.5.4</w:t>
            </w:r>
          </w:p>
        </w:tc>
        <w:tc>
          <w:tcPr>
            <w:tcW w:w="3736" w:type="dxa"/>
            <w:tcBorders/>
            <w:vAlign w:val="center"/>
          </w:tcPr>
          <w:p>
            <w:pPr>
              <w:pStyle w:val="TableContents"/>
              <w:bidi w:val="0"/>
              <w:spacing w:before="0" w:after="283"/>
              <w:jc w:val="left"/>
              <w:rPr/>
            </w:pPr>
            <w:r>
              <w:rPr/>
              <w:t>No backup, no retention, no encryption at rest</w:t>
            </w:r>
          </w:p>
        </w:tc>
      </w:tr>
    </w:tbl>
    <w:p>
      <w:pPr>
        <w:pStyle w:val="BodyText"/>
        <w:bidi w:val="0"/>
        <w:jc w:val="left"/>
        <w:rPr/>
      </w:pPr>
      <w:r>
        <w:rPr/>
        <w:t>Cluster C contains the only gap that is a live operational risk rather than a compliance one, and it should be closed first on that basis alone.</w:t>
      </w:r>
    </w:p>
    <w:p>
      <w:pPr>
        <w:pStyle w:val="Heading2"/>
        <w:bidi w:val="0"/>
        <w:jc w:val="left"/>
        <w:rPr/>
      </w:pPr>
      <w:r>
        <w:rPr/>
        <w:t>2. Clause-by-clause assessment</w:t>
      </w:r>
    </w:p>
    <w:p>
      <w:pPr>
        <w:pStyle w:val="BodyText"/>
        <w:bidi w:val="0"/>
        <w:jc w:val="left"/>
        <w:rPr/>
      </w:pPr>
      <w:r>
        <w:rPr/>
        <w:t xml:space="preserve">Ratings: </w:t>
      </w:r>
      <w:r>
        <w:rPr>
          <w:rStyle w:val="Strong"/>
        </w:rPr>
        <w:t>Conformant</w:t>
      </w:r>
      <w:r>
        <w:rPr/>
        <w:t xml:space="preserve"> · </w:t>
      </w:r>
      <w:r>
        <w:rPr>
          <w:rStyle w:val="Strong"/>
        </w:rPr>
        <w:t>Partial</w:t>
      </w:r>
      <w:r>
        <w:rPr/>
        <w:t xml:space="preserve"> — the substance exists but the record or rigour does not · </w:t>
      </w:r>
      <w:r>
        <w:rPr>
          <w:rStyle w:val="Strong"/>
        </w:rPr>
        <w:t>Gap</w:t>
      </w:r>
      <w:r>
        <w:rPr/>
        <w:t xml:space="preserve"> — not in place.</w:t>
      </w:r>
    </w:p>
    <w:tbl>
      <w:tblPr>
        <w:tblW w:w="11339" w:type="dxa"/>
        <w:jc w:val="left"/>
        <w:tblInd w:w="0" w:type="dxa"/>
        <w:tblLayout w:type="fixed"/>
        <w:tblCellMar>
          <w:top w:w="28" w:type="dxa"/>
          <w:left w:w="28" w:type="dxa"/>
          <w:bottom w:w="28" w:type="dxa"/>
          <w:right w:w="28" w:type="dxa"/>
        </w:tblCellMar>
      </w:tblPr>
      <w:tblGrid>
        <w:gridCol w:w="770"/>
        <w:gridCol w:w="1906"/>
        <w:gridCol w:w="1402"/>
        <w:gridCol w:w="6064"/>
        <w:gridCol w:w="1197"/>
      </w:tblGrid>
      <w:tr>
        <w:trPr>
          <w:tblHeader w:val="true"/>
        </w:trPr>
        <w:tc>
          <w:tcPr>
            <w:tcW w:w="770" w:type="dxa"/>
            <w:tcBorders/>
            <w:vAlign w:val="center"/>
          </w:tcPr>
          <w:p>
            <w:pPr>
              <w:pStyle w:val="TableHeading"/>
              <w:suppressLineNumbers/>
              <w:shd w:fill="1F3A5F" w:val="clear"/>
              <w:bidi w:val="0"/>
              <w:spacing w:before="0" w:after="283"/>
              <w:jc w:val="center"/>
              <w:rPr/>
            </w:pPr>
            <w:r>
              <w:rPr/>
              <w:t>Clause</w:t>
            </w:r>
          </w:p>
        </w:tc>
        <w:tc>
          <w:tcPr>
            <w:tcW w:w="1906" w:type="dxa"/>
            <w:tcBorders/>
            <w:vAlign w:val="center"/>
          </w:tcPr>
          <w:p>
            <w:pPr>
              <w:pStyle w:val="TableHeading"/>
              <w:suppressLineNumbers/>
              <w:shd w:fill="1F3A5F" w:val="clear"/>
              <w:bidi w:val="0"/>
              <w:spacing w:before="0" w:after="283"/>
              <w:jc w:val="center"/>
              <w:rPr/>
            </w:pPr>
            <w:r>
              <w:rPr/>
              <w:t>Requirement</w:t>
            </w:r>
          </w:p>
        </w:tc>
        <w:tc>
          <w:tcPr>
            <w:tcW w:w="1402" w:type="dxa"/>
            <w:tcBorders/>
            <w:vAlign w:val="center"/>
          </w:tcPr>
          <w:p>
            <w:pPr>
              <w:pStyle w:val="TableHeading"/>
              <w:suppressLineNumbers/>
              <w:shd w:fill="1F3A5F" w:val="clear"/>
              <w:bidi w:val="0"/>
              <w:spacing w:before="0" w:after="283"/>
              <w:jc w:val="center"/>
              <w:rPr/>
            </w:pPr>
            <w:r>
              <w:rPr/>
              <w:t>Rating</w:t>
            </w:r>
          </w:p>
        </w:tc>
        <w:tc>
          <w:tcPr>
            <w:tcW w:w="6064" w:type="dxa"/>
            <w:tcBorders/>
            <w:vAlign w:val="center"/>
          </w:tcPr>
          <w:p>
            <w:pPr>
              <w:pStyle w:val="TableHeading"/>
              <w:suppressLineNumbers/>
              <w:shd w:fill="1F3A5F" w:val="clear"/>
              <w:bidi w:val="0"/>
              <w:spacing w:before="0" w:after="283"/>
              <w:jc w:val="center"/>
              <w:rPr/>
            </w:pPr>
            <w:r>
              <w:rPr/>
              <w:t>Evidence / finding</w:t>
            </w:r>
          </w:p>
        </w:tc>
        <w:tc>
          <w:tcPr>
            <w:tcW w:w="1197" w:type="dxa"/>
            <w:tcBorders/>
            <w:vAlign w:val="center"/>
          </w:tcPr>
          <w:p>
            <w:pPr>
              <w:pStyle w:val="TableHeading"/>
              <w:suppressLineNumbers/>
              <w:shd w:fill="1F3A5F" w:val="clear"/>
              <w:bidi w:val="0"/>
              <w:spacing w:before="0" w:after="283"/>
              <w:jc w:val="center"/>
              <w:rPr/>
            </w:pPr>
            <w:r>
              <w:rPr/>
              <w:t>Ref</w:t>
            </w:r>
          </w:p>
        </w:tc>
      </w:tr>
      <w:tr>
        <w:trPr/>
        <w:tc>
          <w:tcPr>
            <w:tcW w:w="770" w:type="dxa"/>
            <w:tcBorders/>
            <w:vAlign w:val="center"/>
          </w:tcPr>
          <w:p>
            <w:pPr>
              <w:pStyle w:val="TableContents"/>
              <w:bidi w:val="0"/>
              <w:spacing w:before="0" w:after="283"/>
              <w:jc w:val="left"/>
              <w:rPr/>
            </w:pPr>
            <w:r>
              <w:rPr/>
              <w:t>4.1</w:t>
            </w:r>
          </w:p>
        </w:tc>
        <w:tc>
          <w:tcPr>
            <w:tcW w:w="1906" w:type="dxa"/>
            <w:tcBorders/>
            <w:vAlign w:val="center"/>
          </w:tcPr>
          <w:p>
            <w:pPr>
              <w:pStyle w:val="TableContents"/>
              <w:bidi w:val="0"/>
              <w:spacing w:before="0" w:after="283"/>
              <w:jc w:val="left"/>
              <w:rPr/>
            </w:pPr>
            <w:r>
              <w:rPr/>
              <w:t>Context of the organisation</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Determined and written in QM-01 §2, but not previously documented and not yet reviewed by management</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4.2</w:t>
            </w:r>
          </w:p>
        </w:tc>
        <w:tc>
          <w:tcPr>
            <w:tcW w:w="1906" w:type="dxa"/>
            <w:tcBorders/>
            <w:vAlign w:val="center"/>
          </w:tcPr>
          <w:p>
            <w:pPr>
              <w:pStyle w:val="TableContents"/>
              <w:bidi w:val="0"/>
              <w:spacing w:before="0" w:after="283"/>
              <w:jc w:val="left"/>
              <w:rPr/>
            </w:pPr>
            <w:r>
              <w:rPr/>
              <w:t>Interested parties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QM-01 §3; never formally reviewed</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4.3</w:t>
            </w:r>
          </w:p>
        </w:tc>
        <w:tc>
          <w:tcPr>
            <w:tcW w:w="1906" w:type="dxa"/>
            <w:tcBorders/>
            <w:vAlign w:val="center"/>
          </w:tcPr>
          <w:p>
            <w:pPr>
              <w:pStyle w:val="TableContents"/>
              <w:bidi w:val="0"/>
              <w:spacing w:before="0" w:after="283"/>
              <w:jc w:val="left"/>
              <w:rPr/>
            </w:pPr>
            <w:r>
              <w:rPr/>
              <w:t>Scope of the QMS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QM-01 §4 with a justified non-applicability for 7.1.5.2; awaiting approval</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4.4</w:t>
            </w:r>
          </w:p>
        </w:tc>
        <w:tc>
          <w:tcPr>
            <w:tcW w:w="1906" w:type="dxa"/>
            <w:tcBorders/>
            <w:vAlign w:val="center"/>
          </w:tcPr>
          <w:p>
            <w:pPr>
              <w:pStyle w:val="TableContents"/>
              <w:bidi w:val="0"/>
              <w:spacing w:before="0" w:after="283"/>
              <w:jc w:val="left"/>
              <w:rPr/>
            </w:pPr>
            <w:r>
              <w:rPr/>
              <w:t>QMS and its processes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Six processes mapped in QM-01 §5 with inputs, outputs and measures; not yet operating</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5.1</w:t>
            </w:r>
          </w:p>
        </w:tc>
        <w:tc>
          <w:tcPr>
            <w:tcW w:w="1906" w:type="dxa"/>
            <w:tcBorders/>
            <w:vAlign w:val="center"/>
          </w:tcPr>
          <w:p>
            <w:pPr>
              <w:pStyle w:val="TableContents"/>
              <w:bidi w:val="0"/>
              <w:spacing w:before="0" w:after="283"/>
              <w:jc w:val="left"/>
              <w:rPr/>
            </w:pPr>
            <w:r>
              <w:rPr/>
              <w:t>Leadership and commitment</w:t>
            </w:r>
          </w:p>
        </w:tc>
        <w:tc>
          <w:tcPr>
            <w:tcW w:w="1402" w:type="dxa"/>
            <w:tcBorders/>
            <w:vAlign w:val="center"/>
          </w:tcPr>
          <w:p>
            <w:pPr>
              <w:pStyle w:val="TableContents"/>
              <w:bidi w:val="0"/>
              <w:spacing w:before="0" w:after="283"/>
              <w:jc w:val="left"/>
              <w:rPr/>
            </w:pPr>
            <w:r>
              <w:rPr/>
              <w:t>Gap</w:t>
            </w:r>
          </w:p>
        </w:tc>
        <w:tc>
          <w:tcPr>
            <w:tcW w:w="6064" w:type="dxa"/>
            <w:tcBorders/>
            <w:vAlign w:val="center"/>
          </w:tcPr>
          <w:p>
            <w:pPr>
              <w:pStyle w:val="TableContents"/>
              <w:bidi w:val="0"/>
              <w:spacing w:before="0" w:after="283"/>
              <w:jc w:val="left"/>
              <w:rPr/>
            </w:pPr>
            <w:r>
              <w:rPr/>
              <w:t>No approved policy, no review, no resourcing decisions recorded. Cannot be evidenced until adoption.</w:t>
            </w:r>
          </w:p>
        </w:tc>
        <w:tc>
          <w:tcPr>
            <w:tcW w:w="1197" w:type="dxa"/>
            <w:tcBorders/>
            <w:vAlign w:val="center"/>
          </w:tcPr>
          <w:p>
            <w:pPr>
              <w:pStyle w:val="TableContents"/>
              <w:bidi w:val="0"/>
              <w:spacing w:before="0" w:after="283"/>
              <w:jc w:val="left"/>
              <w:rPr/>
            </w:pPr>
            <w:r>
              <w:rPr/>
              <w:t>G-07</w:t>
            </w:r>
          </w:p>
        </w:tc>
      </w:tr>
      <w:tr>
        <w:trPr/>
        <w:tc>
          <w:tcPr>
            <w:tcW w:w="770" w:type="dxa"/>
            <w:tcBorders/>
            <w:vAlign w:val="center"/>
          </w:tcPr>
          <w:p>
            <w:pPr>
              <w:pStyle w:val="TableContents"/>
              <w:bidi w:val="0"/>
              <w:spacing w:before="0" w:after="283"/>
              <w:jc w:val="left"/>
              <w:rPr/>
            </w:pPr>
            <w:r>
              <w:rPr/>
              <w:t>5.2</w:t>
            </w:r>
          </w:p>
        </w:tc>
        <w:tc>
          <w:tcPr>
            <w:tcW w:w="1906" w:type="dxa"/>
            <w:tcBorders/>
            <w:vAlign w:val="center"/>
          </w:tcPr>
          <w:p>
            <w:pPr>
              <w:pStyle w:val="TableContents"/>
              <w:bidi w:val="0"/>
              <w:spacing w:before="0" w:after="283"/>
              <w:jc w:val="left"/>
              <w:rPr/>
            </w:pPr>
            <w:r>
              <w:rPr/>
              <w:t>Quality policy</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 xml:space="preserve">QP-01 written; </w:t>
            </w:r>
            <w:r>
              <w:rPr>
                <w:rStyle w:val="Strong"/>
              </w:rPr>
              <w:t>unsigned and uncommunicated</w:t>
            </w:r>
          </w:p>
        </w:tc>
        <w:tc>
          <w:tcPr>
            <w:tcW w:w="1197" w:type="dxa"/>
            <w:tcBorders/>
            <w:vAlign w:val="center"/>
          </w:tcPr>
          <w:p>
            <w:pPr>
              <w:pStyle w:val="TableContents"/>
              <w:bidi w:val="0"/>
              <w:spacing w:before="0" w:after="283"/>
              <w:jc w:val="left"/>
              <w:rPr/>
            </w:pPr>
            <w:r>
              <w:rPr/>
              <w:t>G-07</w:t>
            </w:r>
          </w:p>
        </w:tc>
      </w:tr>
      <w:tr>
        <w:trPr/>
        <w:tc>
          <w:tcPr>
            <w:tcW w:w="770" w:type="dxa"/>
            <w:tcBorders/>
            <w:vAlign w:val="center"/>
          </w:tcPr>
          <w:p>
            <w:pPr>
              <w:pStyle w:val="TableContents"/>
              <w:bidi w:val="0"/>
              <w:spacing w:before="0" w:after="283"/>
              <w:jc w:val="left"/>
              <w:rPr/>
            </w:pPr>
            <w:r>
              <w:rPr/>
              <w:t>5.3</w:t>
            </w:r>
          </w:p>
        </w:tc>
        <w:tc>
          <w:tcPr>
            <w:tcW w:w="1906" w:type="dxa"/>
            <w:tcBorders/>
            <w:vAlign w:val="center"/>
          </w:tcPr>
          <w:p>
            <w:pPr>
              <w:pStyle w:val="TableContents"/>
              <w:bidi w:val="0"/>
              <w:spacing w:before="0" w:after="283"/>
              <w:jc w:val="left"/>
              <w:rPr/>
            </w:pPr>
            <w:r>
              <w:rPr/>
              <w:t>Roles and authorities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Defined in QM-01 §6.1; one person holds all of them</w:t>
            </w:r>
          </w:p>
        </w:tc>
        <w:tc>
          <w:tcPr>
            <w:tcW w:w="1197" w:type="dxa"/>
            <w:tcBorders/>
            <w:vAlign w:val="center"/>
          </w:tcPr>
          <w:p>
            <w:pPr>
              <w:pStyle w:val="TableContents"/>
              <w:bidi w:val="0"/>
              <w:spacing w:before="0" w:after="283"/>
              <w:jc w:val="left"/>
              <w:rPr/>
            </w:pPr>
            <w:r>
              <w:rPr/>
              <w:t>G-08</w:t>
            </w:r>
          </w:p>
        </w:tc>
      </w:tr>
      <w:tr>
        <w:trPr/>
        <w:tc>
          <w:tcPr>
            <w:tcW w:w="770" w:type="dxa"/>
            <w:tcBorders/>
            <w:vAlign w:val="center"/>
          </w:tcPr>
          <w:p>
            <w:pPr>
              <w:pStyle w:val="TableContents"/>
              <w:bidi w:val="0"/>
              <w:spacing w:before="0" w:after="283"/>
              <w:jc w:val="left"/>
              <w:rPr/>
            </w:pPr>
            <w:r>
              <w:rPr/>
              <w:t>6.1</w:t>
            </w:r>
          </w:p>
        </w:tc>
        <w:tc>
          <w:tcPr>
            <w:tcW w:w="1906" w:type="dxa"/>
            <w:tcBorders/>
            <w:vAlign w:val="center"/>
          </w:tcPr>
          <w:p>
            <w:pPr>
              <w:pStyle w:val="TableContents"/>
              <w:bidi w:val="0"/>
              <w:spacing w:before="0" w:after="283"/>
              <w:jc w:val="left"/>
              <w:rPr/>
            </w:pPr>
            <w:r>
              <w:rPr/>
              <w:t>Risks and opportunities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 xml:space="preserve">REG-03 seeded with 14 evidenced risks and 4 opportunities; </w:t>
            </w:r>
            <w:r>
              <w:rPr>
                <w:rStyle w:val="Strong"/>
              </w:rPr>
              <w:t>ratings proposed, not confirmed</w:t>
            </w:r>
            <w:r>
              <w:rPr/>
              <w:t>; no treatment owners or dates</w:t>
            </w:r>
          </w:p>
        </w:tc>
        <w:tc>
          <w:tcPr>
            <w:tcW w:w="1197" w:type="dxa"/>
            <w:tcBorders/>
            <w:vAlign w:val="center"/>
          </w:tcPr>
          <w:p>
            <w:pPr>
              <w:pStyle w:val="TableContents"/>
              <w:bidi w:val="0"/>
              <w:spacing w:before="0" w:after="283"/>
              <w:jc w:val="left"/>
              <w:rPr/>
            </w:pPr>
            <w:r>
              <w:rPr/>
              <w:t>G-09</w:t>
            </w:r>
          </w:p>
        </w:tc>
      </w:tr>
      <w:tr>
        <w:trPr/>
        <w:tc>
          <w:tcPr>
            <w:tcW w:w="770" w:type="dxa"/>
            <w:tcBorders/>
            <w:vAlign w:val="center"/>
          </w:tcPr>
          <w:p>
            <w:pPr>
              <w:pStyle w:val="TableContents"/>
              <w:bidi w:val="0"/>
              <w:spacing w:before="0" w:after="283"/>
              <w:jc w:val="left"/>
              <w:rPr/>
            </w:pPr>
            <w:r>
              <w:rPr/>
              <w:t>6.2</w:t>
            </w:r>
          </w:p>
        </w:tc>
        <w:tc>
          <w:tcPr>
            <w:tcW w:w="1906" w:type="dxa"/>
            <w:tcBorders/>
            <w:vAlign w:val="center"/>
          </w:tcPr>
          <w:p>
            <w:pPr>
              <w:pStyle w:val="TableContents"/>
              <w:bidi w:val="0"/>
              <w:spacing w:before="0" w:after="283"/>
              <w:jc w:val="left"/>
              <w:rPr/>
            </w:pPr>
            <w:r>
              <w:rPr/>
              <w:t>Quality objectives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QO-01 with 7 objectives; only two have real baselines, both stale</w:t>
            </w:r>
          </w:p>
        </w:tc>
        <w:tc>
          <w:tcPr>
            <w:tcW w:w="1197" w:type="dxa"/>
            <w:tcBorders/>
            <w:vAlign w:val="center"/>
          </w:tcPr>
          <w:p>
            <w:pPr>
              <w:pStyle w:val="TableContents"/>
              <w:bidi w:val="0"/>
              <w:spacing w:before="0" w:after="283"/>
              <w:jc w:val="left"/>
              <w:rPr/>
            </w:pPr>
            <w:r>
              <w:rPr/>
              <w:t>G-10</w:t>
            </w:r>
          </w:p>
        </w:tc>
      </w:tr>
      <w:tr>
        <w:trPr/>
        <w:tc>
          <w:tcPr>
            <w:tcW w:w="770" w:type="dxa"/>
            <w:tcBorders/>
            <w:vAlign w:val="center"/>
          </w:tcPr>
          <w:p>
            <w:pPr>
              <w:pStyle w:val="TableContents"/>
              <w:bidi w:val="0"/>
              <w:spacing w:before="0" w:after="283"/>
              <w:jc w:val="left"/>
              <w:rPr/>
            </w:pPr>
            <w:r>
              <w:rPr/>
              <w:t>6.3</w:t>
            </w:r>
          </w:p>
        </w:tc>
        <w:tc>
          <w:tcPr>
            <w:tcW w:w="1906" w:type="dxa"/>
            <w:tcBorders/>
            <w:vAlign w:val="center"/>
          </w:tcPr>
          <w:p>
            <w:pPr>
              <w:pStyle w:val="TableContents"/>
              <w:bidi w:val="0"/>
              <w:spacing w:before="0" w:after="283"/>
              <w:jc w:val="left"/>
              <w:rPr/>
            </w:pPr>
            <w:r>
              <w:rPr/>
              <w:t>Planning of changes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SOP-02 §7; historically changes were planned in commit bodies, sometimes very well, but never against criteria</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7.1.1–7.1.4</w:t>
            </w:r>
          </w:p>
        </w:tc>
        <w:tc>
          <w:tcPr>
            <w:tcW w:w="1906" w:type="dxa"/>
            <w:tcBorders/>
            <w:vAlign w:val="center"/>
          </w:tcPr>
          <w:p>
            <w:pPr>
              <w:pStyle w:val="TableContents"/>
              <w:bidi w:val="0"/>
              <w:spacing w:before="0" w:after="283"/>
              <w:jc w:val="left"/>
              <w:rPr/>
            </w:pPr>
            <w:r>
              <w:rPr/>
              <w:t>Resources, people, infrastructure, environment</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Infrastructure well documented (compose, Dockerfiles, deployment docs); people resource is one person</w:t>
            </w:r>
          </w:p>
        </w:tc>
        <w:tc>
          <w:tcPr>
            <w:tcW w:w="1197" w:type="dxa"/>
            <w:tcBorders/>
            <w:vAlign w:val="center"/>
          </w:tcPr>
          <w:p>
            <w:pPr>
              <w:pStyle w:val="TableContents"/>
              <w:bidi w:val="0"/>
              <w:spacing w:before="0" w:after="283"/>
              <w:jc w:val="left"/>
              <w:rPr/>
            </w:pPr>
            <w:r>
              <w:rPr/>
              <w:t>G-08</w:t>
            </w:r>
          </w:p>
        </w:tc>
      </w:tr>
      <w:tr>
        <w:trPr/>
        <w:tc>
          <w:tcPr>
            <w:tcW w:w="770" w:type="dxa"/>
            <w:tcBorders/>
            <w:vAlign w:val="center"/>
          </w:tcPr>
          <w:p>
            <w:pPr>
              <w:pStyle w:val="TableContents"/>
              <w:bidi w:val="0"/>
              <w:spacing w:before="0" w:after="283"/>
              <w:jc w:val="left"/>
              <w:rPr/>
            </w:pPr>
            <w:r>
              <w:rPr/>
              <w:t>7.1.5.1</w:t>
            </w:r>
          </w:p>
        </w:tc>
        <w:tc>
          <w:tcPr>
            <w:tcW w:w="1906" w:type="dxa"/>
            <w:tcBorders/>
            <w:vAlign w:val="center"/>
          </w:tcPr>
          <w:p>
            <w:pPr>
              <w:pStyle w:val="TableContents"/>
              <w:bidi w:val="0"/>
              <w:spacing w:before="0" w:after="283"/>
              <w:jc w:val="left"/>
              <w:rPr/>
            </w:pPr>
            <w:r>
              <w:rPr/>
              <w:t>Monitoring and measuring resources</w:t>
            </w:r>
          </w:p>
        </w:tc>
        <w:tc>
          <w:tcPr>
            <w:tcW w:w="1402" w:type="dxa"/>
            <w:tcBorders/>
            <w:vAlign w:val="center"/>
          </w:tcPr>
          <w:p>
            <w:pPr>
              <w:pStyle w:val="TableContents"/>
              <w:bidi w:val="0"/>
              <w:spacing w:before="0" w:after="283"/>
              <w:jc w:val="left"/>
              <w:rPr/>
            </w:pPr>
            <w:r>
              <w:rPr>
                <w:rStyle w:val="Strong"/>
              </w:rPr>
              <w:t>Conformant</w:t>
            </w:r>
          </w:p>
        </w:tc>
        <w:tc>
          <w:tcPr>
            <w:tcW w:w="6064" w:type="dxa"/>
            <w:tcBorders/>
            <w:vAlign w:val="center"/>
          </w:tcPr>
          <w:p>
            <w:pPr>
              <w:pStyle w:val="TableContents"/>
              <w:bidi w:val="0"/>
              <w:spacing w:before="0" w:after="283"/>
              <w:jc w:val="left"/>
              <w:rPr/>
            </w:pPr>
            <w:r>
              <w:rPr/>
              <w:t xml:space="preserve">The measuring instrument is the evaluation harness; </w:t>
            </w:r>
            <w:r>
              <w:rPr>
                <w:rStyle w:val="SourceText"/>
              </w:rPr>
              <w:t>eval/golden/*.jsonl</w:t>
            </w:r>
            <w:r>
              <w:rPr/>
              <w:t xml:space="preserve"> and </w:t>
            </w:r>
            <w:r>
              <w:rPr>
                <w:rStyle w:val="SourceText"/>
              </w:rPr>
              <w:t>eval/run_eval.py</w:t>
            </w:r>
            <w:r>
              <w:rPr/>
              <w:t xml:space="preserve"> are version-controlled, and results are now retained as records (2026-09-22, 24 historical reports committed)</w:t>
            </w:r>
          </w:p>
        </w:tc>
        <w:tc>
          <w:tcPr>
            <w:tcW w:w="1197" w:type="dxa"/>
            <w:tcBorders/>
            <w:vAlign w:val="center"/>
          </w:tcPr>
          <w:p>
            <w:pPr>
              <w:pStyle w:val="TableContents"/>
              <w:bidi w:val="0"/>
              <w:spacing w:before="0" w:after="283"/>
              <w:jc w:val="left"/>
              <w:rPr/>
            </w:pPr>
            <w:r>
              <w:rPr/>
              <w:t>~~G-12~~ closed</w:t>
            </w:r>
          </w:p>
        </w:tc>
      </w:tr>
      <w:tr>
        <w:trPr/>
        <w:tc>
          <w:tcPr>
            <w:tcW w:w="770" w:type="dxa"/>
            <w:tcBorders/>
            <w:vAlign w:val="center"/>
          </w:tcPr>
          <w:p>
            <w:pPr>
              <w:pStyle w:val="TableContents"/>
              <w:bidi w:val="0"/>
              <w:spacing w:before="0" w:after="283"/>
              <w:jc w:val="left"/>
              <w:rPr/>
            </w:pPr>
            <w:r>
              <w:rPr/>
              <w:t>7.1.5.2</w:t>
            </w:r>
          </w:p>
        </w:tc>
        <w:tc>
          <w:tcPr>
            <w:tcW w:w="1906" w:type="dxa"/>
            <w:tcBorders/>
            <w:vAlign w:val="center"/>
          </w:tcPr>
          <w:p>
            <w:pPr>
              <w:pStyle w:val="TableContents"/>
              <w:bidi w:val="0"/>
              <w:spacing w:before="0" w:after="283"/>
              <w:jc w:val="left"/>
              <w:rPr/>
            </w:pPr>
            <w:r>
              <w:rPr/>
              <w:t>Measurement traceability</w:t>
            </w:r>
          </w:p>
        </w:tc>
        <w:tc>
          <w:tcPr>
            <w:tcW w:w="1402" w:type="dxa"/>
            <w:tcBorders/>
            <w:vAlign w:val="center"/>
          </w:tcPr>
          <w:p>
            <w:pPr>
              <w:pStyle w:val="TableContents"/>
              <w:bidi w:val="0"/>
              <w:spacing w:before="0" w:after="283"/>
              <w:jc w:val="left"/>
              <w:rPr/>
            </w:pPr>
            <w:r>
              <w:rPr/>
              <w:t>Not applicable</w:t>
            </w:r>
          </w:p>
        </w:tc>
        <w:tc>
          <w:tcPr>
            <w:tcW w:w="6064" w:type="dxa"/>
            <w:tcBorders/>
            <w:vAlign w:val="center"/>
          </w:tcPr>
          <w:p>
            <w:pPr>
              <w:pStyle w:val="TableContents"/>
              <w:bidi w:val="0"/>
              <w:spacing w:before="0" w:after="283"/>
              <w:jc w:val="left"/>
              <w:rPr/>
            </w:pPr>
            <w:r>
              <w:rPr/>
              <w:t>No physical measuring equipment; justified in QM-01 §4.1</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7.1.6</w:t>
            </w:r>
          </w:p>
        </w:tc>
        <w:tc>
          <w:tcPr>
            <w:tcW w:w="1906" w:type="dxa"/>
            <w:tcBorders/>
            <w:vAlign w:val="center"/>
          </w:tcPr>
          <w:p>
            <w:pPr>
              <w:pStyle w:val="TableContents"/>
              <w:bidi w:val="0"/>
              <w:spacing w:before="0" w:after="283"/>
              <w:jc w:val="left"/>
              <w:rPr/>
            </w:pPr>
            <w:r>
              <w:rPr/>
              <w:t>Organisational knowledge</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 xml:space="preserve">Unusually good written rationale in </w:t>
            </w:r>
            <w:r>
              <w:rPr>
                <w:rStyle w:val="SourceText"/>
              </w:rPr>
              <w:t>docs/</w:t>
            </w:r>
            <w:r>
              <w:rPr/>
              <w:t xml:space="preserve"> and commit bodies — a real strength — but concentrated in one person</w:t>
            </w:r>
          </w:p>
        </w:tc>
        <w:tc>
          <w:tcPr>
            <w:tcW w:w="1197" w:type="dxa"/>
            <w:tcBorders/>
            <w:vAlign w:val="center"/>
          </w:tcPr>
          <w:p>
            <w:pPr>
              <w:pStyle w:val="TableContents"/>
              <w:bidi w:val="0"/>
              <w:spacing w:before="0" w:after="283"/>
              <w:jc w:val="left"/>
              <w:rPr/>
            </w:pPr>
            <w:r>
              <w:rPr/>
              <w:t>G-08</w:t>
            </w:r>
          </w:p>
        </w:tc>
      </w:tr>
      <w:tr>
        <w:trPr/>
        <w:tc>
          <w:tcPr>
            <w:tcW w:w="770" w:type="dxa"/>
            <w:tcBorders/>
            <w:vAlign w:val="center"/>
          </w:tcPr>
          <w:p>
            <w:pPr>
              <w:pStyle w:val="TableContents"/>
              <w:bidi w:val="0"/>
              <w:spacing w:before="0" w:after="283"/>
              <w:jc w:val="left"/>
              <w:rPr/>
            </w:pPr>
            <w:r>
              <w:rPr/>
              <w:t>7.2</w:t>
            </w:r>
          </w:p>
        </w:tc>
        <w:tc>
          <w:tcPr>
            <w:tcW w:w="1906" w:type="dxa"/>
            <w:tcBorders/>
            <w:vAlign w:val="center"/>
          </w:tcPr>
          <w:p>
            <w:pPr>
              <w:pStyle w:val="TableContents"/>
              <w:bidi w:val="0"/>
              <w:spacing w:before="0" w:after="283"/>
              <w:jc w:val="left"/>
              <w:rPr/>
            </w:pPr>
            <w:r>
              <w:rPr/>
              <w:t>Competence</w:t>
            </w:r>
          </w:p>
        </w:tc>
        <w:tc>
          <w:tcPr>
            <w:tcW w:w="1402" w:type="dxa"/>
            <w:tcBorders/>
            <w:vAlign w:val="center"/>
          </w:tcPr>
          <w:p>
            <w:pPr>
              <w:pStyle w:val="TableContents"/>
              <w:bidi w:val="0"/>
              <w:spacing w:before="0" w:after="283"/>
              <w:jc w:val="left"/>
              <w:rPr/>
            </w:pPr>
            <w:r>
              <w:rPr/>
              <w:t>Gap</w:t>
            </w:r>
          </w:p>
        </w:tc>
        <w:tc>
          <w:tcPr>
            <w:tcW w:w="6064" w:type="dxa"/>
            <w:tcBorders/>
            <w:vAlign w:val="center"/>
          </w:tcPr>
          <w:p>
            <w:pPr>
              <w:pStyle w:val="TableContents"/>
              <w:bidi w:val="0"/>
              <w:spacing w:before="0" w:after="283"/>
              <w:jc w:val="left"/>
              <w:rPr/>
            </w:pPr>
            <w:r>
              <w:rPr/>
              <w:t>No competence matrix, no records. REG-05 created and empty.</w:t>
            </w:r>
          </w:p>
        </w:tc>
        <w:tc>
          <w:tcPr>
            <w:tcW w:w="1197" w:type="dxa"/>
            <w:tcBorders/>
            <w:vAlign w:val="center"/>
          </w:tcPr>
          <w:p>
            <w:pPr>
              <w:pStyle w:val="TableContents"/>
              <w:bidi w:val="0"/>
              <w:spacing w:before="0" w:after="283"/>
              <w:jc w:val="left"/>
              <w:rPr/>
            </w:pPr>
            <w:r>
              <w:rPr/>
              <w:t>G-13</w:t>
            </w:r>
          </w:p>
        </w:tc>
      </w:tr>
      <w:tr>
        <w:trPr/>
        <w:tc>
          <w:tcPr>
            <w:tcW w:w="770" w:type="dxa"/>
            <w:tcBorders/>
            <w:vAlign w:val="center"/>
          </w:tcPr>
          <w:p>
            <w:pPr>
              <w:pStyle w:val="TableContents"/>
              <w:bidi w:val="0"/>
              <w:spacing w:before="0" w:after="283"/>
              <w:jc w:val="left"/>
              <w:rPr/>
            </w:pPr>
            <w:r>
              <w:rPr/>
              <w:t>7.3</w:t>
            </w:r>
          </w:p>
        </w:tc>
        <w:tc>
          <w:tcPr>
            <w:tcW w:w="1906" w:type="dxa"/>
            <w:tcBorders/>
            <w:vAlign w:val="center"/>
          </w:tcPr>
          <w:p>
            <w:pPr>
              <w:pStyle w:val="TableContents"/>
              <w:bidi w:val="0"/>
              <w:spacing w:before="0" w:after="283"/>
              <w:jc w:val="left"/>
              <w:rPr/>
            </w:pPr>
            <w:r>
              <w:rPr/>
              <w:t>Awareness</w:t>
            </w:r>
          </w:p>
        </w:tc>
        <w:tc>
          <w:tcPr>
            <w:tcW w:w="1402" w:type="dxa"/>
            <w:tcBorders/>
            <w:vAlign w:val="center"/>
          </w:tcPr>
          <w:p>
            <w:pPr>
              <w:pStyle w:val="TableContents"/>
              <w:bidi w:val="0"/>
              <w:spacing w:before="0" w:after="283"/>
              <w:jc w:val="left"/>
              <w:rPr/>
            </w:pPr>
            <w:r>
              <w:rPr/>
              <w:t>Gap</w:t>
            </w:r>
          </w:p>
        </w:tc>
        <w:tc>
          <w:tcPr>
            <w:tcW w:w="6064" w:type="dxa"/>
            <w:tcBorders/>
            <w:vAlign w:val="center"/>
          </w:tcPr>
          <w:p>
            <w:pPr>
              <w:pStyle w:val="TableContents"/>
              <w:bidi w:val="0"/>
              <w:spacing w:before="0" w:after="283"/>
              <w:jc w:val="left"/>
              <w:rPr/>
            </w:pPr>
            <w:r>
              <w:rPr/>
              <w:t>Policy not yet communicated to anyone</w:t>
            </w:r>
          </w:p>
        </w:tc>
        <w:tc>
          <w:tcPr>
            <w:tcW w:w="1197" w:type="dxa"/>
            <w:tcBorders/>
            <w:vAlign w:val="center"/>
          </w:tcPr>
          <w:p>
            <w:pPr>
              <w:pStyle w:val="TableContents"/>
              <w:bidi w:val="0"/>
              <w:spacing w:before="0" w:after="283"/>
              <w:jc w:val="left"/>
              <w:rPr/>
            </w:pPr>
            <w:r>
              <w:rPr/>
              <w:t>G-07</w:t>
            </w:r>
          </w:p>
        </w:tc>
      </w:tr>
      <w:tr>
        <w:trPr/>
        <w:tc>
          <w:tcPr>
            <w:tcW w:w="770" w:type="dxa"/>
            <w:tcBorders/>
            <w:vAlign w:val="center"/>
          </w:tcPr>
          <w:p>
            <w:pPr>
              <w:pStyle w:val="TableContents"/>
              <w:bidi w:val="0"/>
              <w:spacing w:before="0" w:after="283"/>
              <w:jc w:val="left"/>
              <w:rPr/>
            </w:pPr>
            <w:r>
              <w:rPr/>
              <w:t>7.4</w:t>
            </w:r>
          </w:p>
        </w:tc>
        <w:tc>
          <w:tcPr>
            <w:tcW w:w="1906" w:type="dxa"/>
            <w:tcBorders/>
            <w:vAlign w:val="center"/>
          </w:tcPr>
          <w:p>
            <w:pPr>
              <w:pStyle w:val="TableContents"/>
              <w:bidi w:val="0"/>
              <w:spacing w:before="0" w:after="283"/>
              <w:jc w:val="left"/>
              <w:rPr/>
            </w:pPr>
            <w:r>
              <w:rPr/>
              <w:t>Communication</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Internal communication is a single person; external is undefined</w:t>
            </w:r>
          </w:p>
        </w:tc>
        <w:tc>
          <w:tcPr>
            <w:tcW w:w="1197" w:type="dxa"/>
            <w:tcBorders/>
            <w:vAlign w:val="center"/>
          </w:tcPr>
          <w:p>
            <w:pPr>
              <w:pStyle w:val="TableContents"/>
              <w:bidi w:val="0"/>
              <w:spacing w:before="0" w:after="283"/>
              <w:jc w:val="left"/>
              <w:rPr/>
            </w:pPr>
            <w:r>
              <w:rPr/>
              <w:t>G-14</w:t>
            </w:r>
          </w:p>
        </w:tc>
      </w:tr>
      <w:tr>
        <w:trPr/>
        <w:tc>
          <w:tcPr>
            <w:tcW w:w="770" w:type="dxa"/>
            <w:tcBorders/>
            <w:vAlign w:val="center"/>
          </w:tcPr>
          <w:p>
            <w:pPr>
              <w:pStyle w:val="TableContents"/>
              <w:bidi w:val="0"/>
              <w:spacing w:before="0" w:after="283"/>
              <w:jc w:val="left"/>
              <w:rPr/>
            </w:pPr>
            <w:r>
              <w:rPr/>
              <w:t>7.5</w:t>
            </w:r>
          </w:p>
        </w:tc>
        <w:tc>
          <w:tcPr>
            <w:tcW w:w="1906" w:type="dxa"/>
            <w:tcBorders/>
            <w:vAlign w:val="center"/>
          </w:tcPr>
          <w:p>
            <w:pPr>
              <w:pStyle w:val="TableContents"/>
              <w:bidi w:val="0"/>
              <w:spacing w:before="0" w:after="283"/>
              <w:jc w:val="left"/>
              <w:rPr/>
            </w:pPr>
            <w:r>
              <w:rPr/>
              <w:t>Documented information</w:t>
            </w:r>
          </w:p>
        </w:tc>
        <w:tc>
          <w:tcPr>
            <w:tcW w:w="1402" w:type="dxa"/>
            <w:tcBorders/>
            <w:vAlign w:val="center"/>
          </w:tcPr>
          <w:p>
            <w:pPr>
              <w:pStyle w:val="TableContents"/>
              <w:bidi w:val="0"/>
              <w:spacing w:before="0" w:after="283"/>
              <w:jc w:val="left"/>
              <w:rPr/>
            </w:pPr>
            <w:r>
              <w:rPr>
                <w:rStyle w:val="Strong"/>
              </w:rPr>
              <w:t>Conformant in mechanism</w:t>
            </w:r>
          </w:p>
        </w:tc>
        <w:tc>
          <w:tcPr>
            <w:tcW w:w="6064" w:type="dxa"/>
            <w:tcBorders/>
            <w:vAlign w:val="center"/>
          </w:tcPr>
          <w:p>
            <w:pPr>
              <w:pStyle w:val="TableContents"/>
              <w:bidi w:val="0"/>
              <w:spacing w:before="0" w:after="283"/>
              <w:jc w:val="left"/>
              <w:rPr/>
            </w:pPr>
            <w:r>
              <w:rPr/>
              <w:t>SOP-01 uses Git as the control mechanism — versioned, attributed, timestamped, replicated. Strong. Weakness is that the documents it controls are unapproved.</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8.1</w:t>
            </w:r>
          </w:p>
        </w:tc>
        <w:tc>
          <w:tcPr>
            <w:tcW w:w="1906" w:type="dxa"/>
            <w:tcBorders/>
            <w:vAlign w:val="center"/>
          </w:tcPr>
          <w:p>
            <w:pPr>
              <w:pStyle w:val="TableContents"/>
              <w:bidi w:val="0"/>
              <w:spacing w:before="0" w:after="283"/>
              <w:jc w:val="left"/>
              <w:rPr/>
            </w:pPr>
            <w:r>
              <w:rPr/>
              <w:t>Operational planning and control</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Deployment and build are well controlled and documented; planning criteria are not written down</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8.2.1</w:t>
            </w:r>
          </w:p>
        </w:tc>
        <w:tc>
          <w:tcPr>
            <w:tcW w:w="1906" w:type="dxa"/>
            <w:tcBorders/>
            <w:vAlign w:val="center"/>
          </w:tcPr>
          <w:p>
            <w:pPr>
              <w:pStyle w:val="TableContents"/>
              <w:bidi w:val="0"/>
              <w:spacing w:before="0" w:after="283"/>
              <w:jc w:val="left"/>
              <w:rPr/>
            </w:pPr>
            <w:r>
              <w:rPr/>
              <w:t>Customer communication</w:t>
            </w:r>
          </w:p>
        </w:tc>
        <w:tc>
          <w:tcPr>
            <w:tcW w:w="1402" w:type="dxa"/>
            <w:tcBorders/>
            <w:vAlign w:val="center"/>
          </w:tcPr>
          <w:p>
            <w:pPr>
              <w:pStyle w:val="TableContents"/>
              <w:bidi w:val="0"/>
              <w:spacing w:before="0" w:after="283"/>
              <w:jc w:val="left"/>
              <w:rPr/>
            </w:pPr>
            <w:r>
              <w:rPr/>
              <w:t>Gap</w:t>
            </w:r>
          </w:p>
        </w:tc>
        <w:tc>
          <w:tcPr>
            <w:tcW w:w="6064" w:type="dxa"/>
            <w:tcBorders/>
            <w:vAlign w:val="center"/>
          </w:tcPr>
          <w:p>
            <w:pPr>
              <w:pStyle w:val="TableContents"/>
              <w:bidi w:val="0"/>
              <w:spacing w:before="0" w:after="283"/>
              <w:jc w:val="left"/>
              <w:rPr/>
            </w:pPr>
            <w:r>
              <w:rPr/>
              <w:t>No feedback channel defined, no log. REG-06 created and empty.</w:t>
            </w:r>
          </w:p>
        </w:tc>
        <w:tc>
          <w:tcPr>
            <w:tcW w:w="1197" w:type="dxa"/>
            <w:tcBorders/>
            <w:vAlign w:val="center"/>
          </w:tcPr>
          <w:p>
            <w:pPr>
              <w:pStyle w:val="TableContents"/>
              <w:bidi w:val="0"/>
              <w:spacing w:before="0" w:after="283"/>
              <w:jc w:val="left"/>
              <w:rPr/>
            </w:pPr>
            <w:r>
              <w:rPr/>
              <w:t>G-15</w:t>
            </w:r>
          </w:p>
        </w:tc>
      </w:tr>
      <w:tr>
        <w:trPr/>
        <w:tc>
          <w:tcPr>
            <w:tcW w:w="770" w:type="dxa"/>
            <w:tcBorders/>
            <w:vAlign w:val="center"/>
          </w:tcPr>
          <w:p>
            <w:pPr>
              <w:pStyle w:val="TableContents"/>
              <w:bidi w:val="0"/>
              <w:spacing w:before="0" w:after="283"/>
              <w:jc w:val="left"/>
              <w:rPr/>
            </w:pPr>
            <w:r>
              <w:rPr/>
              <w:t>8.2.2–8.2.3</w:t>
            </w:r>
          </w:p>
        </w:tc>
        <w:tc>
          <w:tcPr>
            <w:tcW w:w="1906" w:type="dxa"/>
            <w:tcBorders/>
            <w:vAlign w:val="center"/>
          </w:tcPr>
          <w:p>
            <w:pPr>
              <w:pStyle w:val="TableContents"/>
              <w:bidi w:val="0"/>
              <w:spacing w:before="0" w:after="283"/>
              <w:jc w:val="left"/>
              <w:rPr/>
            </w:pPr>
            <w:r>
              <w:rPr/>
              <w:t>Determining and reviewing requirements</w:t>
            </w:r>
          </w:p>
        </w:tc>
        <w:tc>
          <w:tcPr>
            <w:tcW w:w="1402" w:type="dxa"/>
            <w:tcBorders/>
            <w:vAlign w:val="center"/>
          </w:tcPr>
          <w:p>
            <w:pPr>
              <w:pStyle w:val="TableContents"/>
              <w:bidi w:val="0"/>
              <w:spacing w:before="0" w:after="283"/>
              <w:jc w:val="left"/>
              <w:rPr/>
            </w:pPr>
            <w:r>
              <w:rPr/>
              <w:t>Gap</w:t>
            </w:r>
          </w:p>
        </w:tc>
        <w:tc>
          <w:tcPr>
            <w:tcW w:w="6064" w:type="dxa"/>
            <w:tcBorders/>
            <w:vAlign w:val="center"/>
          </w:tcPr>
          <w:p>
            <w:pPr>
              <w:pStyle w:val="TableContents"/>
              <w:bidi w:val="0"/>
              <w:spacing w:before="0" w:after="283"/>
              <w:jc w:val="left"/>
              <w:rPr/>
            </w:pPr>
            <w:r>
              <w:rPr/>
              <w:t>No requirements-review record exists for any engagement</w:t>
            </w:r>
          </w:p>
        </w:tc>
        <w:tc>
          <w:tcPr>
            <w:tcW w:w="1197" w:type="dxa"/>
            <w:tcBorders/>
            <w:vAlign w:val="center"/>
          </w:tcPr>
          <w:p>
            <w:pPr>
              <w:pStyle w:val="TableContents"/>
              <w:bidi w:val="0"/>
              <w:spacing w:before="0" w:after="283"/>
              <w:jc w:val="left"/>
              <w:rPr/>
            </w:pPr>
            <w:r>
              <w:rPr/>
              <w:t>G-15</w:t>
            </w:r>
          </w:p>
        </w:tc>
      </w:tr>
      <w:tr>
        <w:trPr/>
        <w:tc>
          <w:tcPr>
            <w:tcW w:w="770" w:type="dxa"/>
            <w:tcBorders/>
            <w:vAlign w:val="center"/>
          </w:tcPr>
          <w:p>
            <w:pPr>
              <w:pStyle w:val="TableContents"/>
              <w:bidi w:val="0"/>
              <w:spacing w:before="0" w:after="283"/>
              <w:jc w:val="left"/>
              <w:rPr/>
            </w:pPr>
            <w:r>
              <w:rPr/>
              <w:t>8.2.4</w:t>
            </w:r>
          </w:p>
        </w:tc>
        <w:tc>
          <w:tcPr>
            <w:tcW w:w="1906" w:type="dxa"/>
            <w:tcBorders/>
            <w:vAlign w:val="center"/>
          </w:tcPr>
          <w:p>
            <w:pPr>
              <w:pStyle w:val="TableContents"/>
              <w:bidi w:val="0"/>
              <w:spacing w:before="0" w:after="283"/>
              <w:jc w:val="left"/>
              <w:rPr/>
            </w:pPr>
            <w:r>
              <w:rPr/>
              <w:t>Changes to requirements</w:t>
            </w:r>
          </w:p>
        </w:tc>
        <w:tc>
          <w:tcPr>
            <w:tcW w:w="1402" w:type="dxa"/>
            <w:tcBorders/>
            <w:vAlign w:val="center"/>
          </w:tcPr>
          <w:p>
            <w:pPr>
              <w:pStyle w:val="TableContents"/>
              <w:bidi w:val="0"/>
              <w:spacing w:before="0" w:after="283"/>
              <w:jc w:val="left"/>
              <w:rPr/>
            </w:pPr>
            <w:r>
              <w:rPr/>
              <w:t>Gap</w:t>
            </w:r>
          </w:p>
        </w:tc>
        <w:tc>
          <w:tcPr>
            <w:tcW w:w="6064" w:type="dxa"/>
            <w:tcBorders/>
            <w:vAlign w:val="center"/>
          </w:tcPr>
          <w:p>
            <w:pPr>
              <w:pStyle w:val="TableContents"/>
              <w:bidi w:val="0"/>
              <w:spacing w:before="0" w:after="283"/>
              <w:jc w:val="left"/>
              <w:rPr/>
            </w:pPr>
            <w:r>
              <w:rPr/>
              <w:t>No mechanism</w:t>
            </w:r>
          </w:p>
        </w:tc>
        <w:tc>
          <w:tcPr>
            <w:tcW w:w="1197" w:type="dxa"/>
            <w:tcBorders/>
            <w:vAlign w:val="center"/>
          </w:tcPr>
          <w:p>
            <w:pPr>
              <w:pStyle w:val="TableContents"/>
              <w:bidi w:val="0"/>
              <w:spacing w:before="0" w:after="283"/>
              <w:jc w:val="left"/>
              <w:rPr/>
            </w:pPr>
            <w:r>
              <w:rPr/>
              <w:t>G-15</w:t>
            </w:r>
          </w:p>
        </w:tc>
      </w:tr>
      <w:tr>
        <w:trPr/>
        <w:tc>
          <w:tcPr>
            <w:tcW w:w="770" w:type="dxa"/>
            <w:tcBorders/>
            <w:vAlign w:val="center"/>
          </w:tcPr>
          <w:p>
            <w:pPr>
              <w:pStyle w:val="TableContents"/>
              <w:bidi w:val="0"/>
              <w:spacing w:before="0" w:after="283"/>
              <w:jc w:val="left"/>
              <w:rPr/>
            </w:pPr>
            <w:r>
              <w:rPr/>
              <w:t>8.3.1–8.3.2</w:t>
            </w:r>
          </w:p>
        </w:tc>
        <w:tc>
          <w:tcPr>
            <w:tcW w:w="1906" w:type="dxa"/>
            <w:tcBorders/>
            <w:vAlign w:val="center"/>
          </w:tcPr>
          <w:p>
            <w:pPr>
              <w:pStyle w:val="TableContents"/>
              <w:bidi w:val="0"/>
              <w:spacing w:before="0" w:after="283"/>
              <w:jc w:val="left"/>
              <w:rPr/>
            </w:pPr>
            <w:r>
              <w:rPr/>
              <w:t>Design planning</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 xml:space="preserve">Design happens and is documented in </w:t>
            </w:r>
            <w:r>
              <w:rPr>
                <w:rStyle w:val="SourceText"/>
              </w:rPr>
              <w:t>docs/</w:t>
            </w:r>
            <w:r>
              <w:rPr/>
              <w:t>, but stages, reviews and acceptance criteria are not planned in advance</w:t>
            </w:r>
          </w:p>
        </w:tc>
        <w:tc>
          <w:tcPr>
            <w:tcW w:w="1197" w:type="dxa"/>
            <w:tcBorders/>
            <w:vAlign w:val="center"/>
          </w:tcPr>
          <w:p>
            <w:pPr>
              <w:pStyle w:val="TableContents"/>
              <w:bidi w:val="0"/>
              <w:spacing w:before="0" w:after="283"/>
              <w:jc w:val="left"/>
              <w:rPr/>
            </w:pPr>
            <w:r>
              <w:rPr/>
              <w:t>G-16</w:t>
            </w:r>
          </w:p>
        </w:tc>
      </w:tr>
      <w:tr>
        <w:trPr/>
        <w:tc>
          <w:tcPr>
            <w:tcW w:w="770" w:type="dxa"/>
            <w:tcBorders/>
            <w:vAlign w:val="center"/>
          </w:tcPr>
          <w:p>
            <w:pPr>
              <w:pStyle w:val="TableContents"/>
              <w:bidi w:val="0"/>
              <w:spacing w:before="0" w:after="283"/>
              <w:jc w:val="left"/>
              <w:rPr/>
            </w:pPr>
            <w:r>
              <w:rPr/>
              <w:t>8.3.3</w:t>
            </w:r>
          </w:p>
        </w:tc>
        <w:tc>
          <w:tcPr>
            <w:tcW w:w="1906" w:type="dxa"/>
            <w:tcBorders/>
            <w:vAlign w:val="center"/>
          </w:tcPr>
          <w:p>
            <w:pPr>
              <w:pStyle w:val="TableContents"/>
              <w:bidi w:val="0"/>
              <w:spacing w:before="0" w:after="283"/>
              <w:jc w:val="left"/>
              <w:rPr/>
            </w:pPr>
            <w:r>
              <w:rPr/>
              <w:t>Design inputs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Implicit in the code and prompts (grounding, abstention, isolation are clearly deliberate design inputs) but never written as inputs</w:t>
            </w:r>
          </w:p>
        </w:tc>
        <w:tc>
          <w:tcPr>
            <w:tcW w:w="1197" w:type="dxa"/>
            <w:tcBorders/>
            <w:vAlign w:val="center"/>
          </w:tcPr>
          <w:p>
            <w:pPr>
              <w:pStyle w:val="TableContents"/>
              <w:bidi w:val="0"/>
              <w:spacing w:before="0" w:after="283"/>
              <w:jc w:val="left"/>
              <w:rPr/>
            </w:pPr>
            <w:r>
              <w:rPr/>
              <w:t>G-16</w:t>
            </w:r>
          </w:p>
        </w:tc>
      </w:tr>
      <w:tr>
        <w:trPr/>
        <w:tc>
          <w:tcPr>
            <w:tcW w:w="770" w:type="dxa"/>
            <w:tcBorders/>
            <w:vAlign w:val="center"/>
          </w:tcPr>
          <w:p>
            <w:pPr>
              <w:pStyle w:val="TableContents"/>
              <w:bidi w:val="0"/>
              <w:spacing w:before="0" w:after="283"/>
              <w:jc w:val="left"/>
              <w:rPr/>
            </w:pPr>
            <w:r>
              <w:rPr/>
              <w:t>8.3.4</w:t>
            </w:r>
          </w:p>
        </w:tc>
        <w:tc>
          <w:tcPr>
            <w:tcW w:w="1906" w:type="dxa"/>
            <w:tcBorders/>
            <w:vAlign w:val="center"/>
          </w:tcPr>
          <w:p>
            <w:pPr>
              <w:pStyle w:val="TableContents"/>
              <w:bidi w:val="0"/>
              <w:spacing w:before="0" w:after="283"/>
              <w:jc w:val="left"/>
              <w:rPr/>
            </w:pPr>
            <w:r>
              <w:rPr/>
              <w:t>Design controls</w:t>
            </w:r>
          </w:p>
        </w:tc>
        <w:tc>
          <w:tcPr>
            <w:tcW w:w="1402" w:type="dxa"/>
            <w:tcBorders/>
            <w:vAlign w:val="center"/>
          </w:tcPr>
          <w:p>
            <w:pPr>
              <w:pStyle w:val="TableContents"/>
              <w:bidi w:val="0"/>
              <w:spacing w:before="0" w:after="283"/>
              <w:jc w:val="left"/>
              <w:rPr/>
            </w:pPr>
            <w:r>
              <w:rPr>
                <w:rStyle w:val="Strong"/>
              </w:rPr>
              <w:t>Partial — strong substance</w:t>
            </w:r>
          </w:p>
        </w:tc>
        <w:tc>
          <w:tcPr>
            <w:tcW w:w="6064" w:type="dxa"/>
            <w:tcBorders/>
            <w:vAlign w:val="center"/>
          </w:tcPr>
          <w:p>
            <w:pPr>
              <w:pStyle w:val="TableContents"/>
              <w:bidi w:val="0"/>
              <w:spacing w:before="0" w:after="283"/>
              <w:jc w:val="left"/>
              <w:rPr/>
            </w:pPr>
            <w:r>
              <w:rPr/>
              <w:t xml:space="preserve">Verification genuinely happens: 78 unit test functions, the 52-question golden evaluation, the E1–E10 harness, and manual verification recorded in commit bodies. </w:t>
            </w:r>
            <w:r>
              <w:rPr>
                <w:rStyle w:val="Strong"/>
              </w:rPr>
              <w:t>No design review records exist.</w:t>
            </w:r>
          </w:p>
        </w:tc>
        <w:tc>
          <w:tcPr>
            <w:tcW w:w="1197" w:type="dxa"/>
            <w:tcBorders/>
            <w:vAlign w:val="center"/>
          </w:tcPr>
          <w:p>
            <w:pPr>
              <w:pStyle w:val="TableContents"/>
              <w:bidi w:val="0"/>
              <w:spacing w:before="0" w:after="283"/>
              <w:jc w:val="left"/>
              <w:rPr/>
            </w:pPr>
            <w:r>
              <w:rPr/>
              <w:t>G-16</w:t>
            </w:r>
          </w:p>
        </w:tc>
      </w:tr>
      <w:tr>
        <w:trPr/>
        <w:tc>
          <w:tcPr>
            <w:tcW w:w="770" w:type="dxa"/>
            <w:tcBorders/>
            <w:vAlign w:val="center"/>
          </w:tcPr>
          <w:p>
            <w:pPr>
              <w:pStyle w:val="TableContents"/>
              <w:bidi w:val="0"/>
              <w:spacing w:before="0" w:after="283"/>
              <w:jc w:val="left"/>
              <w:rPr/>
            </w:pPr>
            <w:r>
              <w:rPr/>
              <w:t>8.3.5</w:t>
            </w:r>
          </w:p>
        </w:tc>
        <w:tc>
          <w:tcPr>
            <w:tcW w:w="1906" w:type="dxa"/>
            <w:tcBorders/>
            <w:vAlign w:val="center"/>
          </w:tcPr>
          <w:p>
            <w:pPr>
              <w:pStyle w:val="TableContents"/>
              <w:bidi w:val="0"/>
              <w:spacing w:before="0" w:after="283"/>
              <w:jc w:val="left"/>
              <w:rPr/>
            </w:pPr>
            <w:r>
              <w:rPr/>
              <w:t>Design outputs</w:t>
            </w:r>
          </w:p>
        </w:tc>
        <w:tc>
          <w:tcPr>
            <w:tcW w:w="1402" w:type="dxa"/>
            <w:tcBorders/>
            <w:vAlign w:val="center"/>
          </w:tcPr>
          <w:p>
            <w:pPr>
              <w:pStyle w:val="TableContents"/>
              <w:bidi w:val="0"/>
              <w:spacing w:before="0" w:after="283"/>
              <w:jc w:val="left"/>
              <w:rPr/>
            </w:pPr>
            <w:r>
              <w:rPr/>
              <w:t>Conformant</w:t>
            </w:r>
          </w:p>
        </w:tc>
        <w:tc>
          <w:tcPr>
            <w:tcW w:w="6064" w:type="dxa"/>
            <w:tcBorders/>
            <w:vAlign w:val="center"/>
          </w:tcPr>
          <w:p>
            <w:pPr>
              <w:pStyle w:val="TableContents"/>
              <w:bidi w:val="0"/>
              <w:spacing w:before="0" w:after="283"/>
              <w:jc w:val="left"/>
              <w:rPr/>
            </w:pPr>
            <w:r>
              <w:rPr/>
              <w:t xml:space="preserve">Source, architecture documents in </w:t>
            </w:r>
            <w:r>
              <w:rPr>
                <w:rStyle w:val="SourceText"/>
              </w:rPr>
              <w:t>docs/</w:t>
            </w:r>
            <w:r>
              <w:rPr/>
              <w:t xml:space="preserve">, </w:t>
            </w:r>
            <w:r>
              <w:rPr>
                <w:rStyle w:val="SourceText"/>
              </w:rPr>
              <w:t>PROTOCOL.md</w:t>
            </w:r>
            <w:r>
              <w:rPr/>
              <w:t>, user manual</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8.3.6</w:t>
            </w:r>
          </w:p>
        </w:tc>
        <w:tc>
          <w:tcPr>
            <w:tcW w:w="1906" w:type="dxa"/>
            <w:tcBorders/>
            <w:vAlign w:val="center"/>
          </w:tcPr>
          <w:p>
            <w:pPr>
              <w:pStyle w:val="TableContents"/>
              <w:bidi w:val="0"/>
              <w:spacing w:before="0" w:after="283"/>
              <w:jc w:val="left"/>
              <w:rPr/>
            </w:pPr>
            <w:r>
              <w:rPr/>
              <w:t>Design changes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Every change is in Git with rationale; no impact assessment against requirements, because requirements are not recorded</w:t>
            </w:r>
          </w:p>
        </w:tc>
        <w:tc>
          <w:tcPr>
            <w:tcW w:w="1197" w:type="dxa"/>
            <w:tcBorders/>
            <w:vAlign w:val="center"/>
          </w:tcPr>
          <w:p>
            <w:pPr>
              <w:pStyle w:val="TableContents"/>
              <w:bidi w:val="0"/>
              <w:spacing w:before="0" w:after="283"/>
              <w:jc w:val="left"/>
              <w:rPr/>
            </w:pPr>
            <w:r>
              <w:rPr/>
              <w:t>G-16</w:t>
            </w:r>
          </w:p>
        </w:tc>
      </w:tr>
      <w:tr>
        <w:trPr/>
        <w:tc>
          <w:tcPr>
            <w:tcW w:w="770" w:type="dxa"/>
            <w:tcBorders/>
            <w:vAlign w:val="center"/>
          </w:tcPr>
          <w:p>
            <w:pPr>
              <w:pStyle w:val="TableContents"/>
              <w:bidi w:val="0"/>
              <w:spacing w:before="0" w:after="283"/>
              <w:jc w:val="left"/>
              <w:rPr/>
            </w:pPr>
            <w:r>
              <w:rPr/>
              <w:t>8.4.1</w:t>
            </w:r>
          </w:p>
        </w:tc>
        <w:tc>
          <w:tcPr>
            <w:tcW w:w="1906" w:type="dxa"/>
            <w:tcBorders/>
            <w:vAlign w:val="center"/>
          </w:tcPr>
          <w:p>
            <w:pPr>
              <w:pStyle w:val="TableContents"/>
              <w:bidi w:val="0"/>
              <w:spacing w:before="0" w:after="283"/>
              <w:jc w:val="left"/>
              <w:rPr/>
            </w:pPr>
            <w:r>
              <w:rPr/>
              <w:t>Control of external providers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 xml:space="preserve">Controlled in practice by pinning and offline pre-caching; </w:t>
            </w:r>
            <w:r>
              <w:rPr>
                <w:rStyle w:val="Strong"/>
              </w:rPr>
              <w:t>no selection or evaluation criteria</w:t>
            </w:r>
            <w:r>
              <w:rPr/>
              <w:t>, no re-evaluation</w:t>
            </w:r>
          </w:p>
        </w:tc>
        <w:tc>
          <w:tcPr>
            <w:tcW w:w="1197" w:type="dxa"/>
            <w:tcBorders/>
            <w:vAlign w:val="center"/>
          </w:tcPr>
          <w:p>
            <w:pPr>
              <w:pStyle w:val="TableContents"/>
              <w:bidi w:val="0"/>
              <w:spacing w:before="0" w:after="283"/>
              <w:jc w:val="left"/>
              <w:rPr/>
            </w:pPr>
            <w:r>
              <w:rPr/>
              <w:t>G-05</w:t>
            </w:r>
          </w:p>
        </w:tc>
      </w:tr>
      <w:tr>
        <w:trPr/>
        <w:tc>
          <w:tcPr>
            <w:tcW w:w="770" w:type="dxa"/>
            <w:tcBorders/>
            <w:vAlign w:val="center"/>
          </w:tcPr>
          <w:p>
            <w:pPr>
              <w:pStyle w:val="TableContents"/>
              <w:bidi w:val="0"/>
              <w:spacing w:before="0" w:after="283"/>
              <w:jc w:val="left"/>
              <w:rPr/>
            </w:pPr>
            <w:r>
              <w:rPr/>
              <w:t>8.4.2</w:t>
            </w:r>
          </w:p>
        </w:tc>
        <w:tc>
          <w:tcPr>
            <w:tcW w:w="1906" w:type="dxa"/>
            <w:tcBorders/>
            <w:vAlign w:val="center"/>
          </w:tcPr>
          <w:p>
            <w:pPr>
              <w:pStyle w:val="TableContents"/>
              <w:bidi w:val="0"/>
              <w:spacing w:before="0" w:after="283"/>
              <w:jc w:val="left"/>
              <w:rPr/>
            </w:pPr>
            <w:r>
              <w:rPr/>
              <w:t>Type and extent of control</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 xml:space="preserve">Strong for most packages (14/20 backend exact-pinned); </w:t>
            </w:r>
            <w:r>
              <w:rPr>
                <w:rStyle w:val="Strong"/>
              </w:rPr>
              <w:t>one dependency installed from a moving Git branch, which caused a real outage</w:t>
            </w:r>
            <w:r>
              <w:rPr/>
              <w:t xml:space="preserve"> (</w:t>
            </w:r>
            <w:r>
              <w:rPr>
                <w:rStyle w:val="SourceText"/>
              </w:rPr>
              <w:t>724fb98</w:t>
            </w:r>
            <w:r>
              <w:rPr/>
              <w:t>)</w:t>
            </w:r>
          </w:p>
        </w:tc>
        <w:tc>
          <w:tcPr>
            <w:tcW w:w="1197" w:type="dxa"/>
            <w:tcBorders/>
            <w:vAlign w:val="center"/>
          </w:tcPr>
          <w:p>
            <w:pPr>
              <w:pStyle w:val="TableContents"/>
              <w:bidi w:val="0"/>
              <w:spacing w:before="0" w:after="283"/>
              <w:jc w:val="left"/>
              <w:rPr/>
            </w:pPr>
            <w:r>
              <w:rPr/>
              <w:t>G-05</w:t>
            </w:r>
          </w:p>
        </w:tc>
      </w:tr>
      <w:tr>
        <w:trPr/>
        <w:tc>
          <w:tcPr>
            <w:tcW w:w="770" w:type="dxa"/>
            <w:tcBorders/>
            <w:vAlign w:val="center"/>
          </w:tcPr>
          <w:p>
            <w:pPr>
              <w:pStyle w:val="TableContents"/>
              <w:bidi w:val="0"/>
              <w:spacing w:before="0" w:after="283"/>
              <w:jc w:val="left"/>
              <w:rPr/>
            </w:pPr>
            <w:r>
              <w:rPr/>
              <w:t>8.4.3</w:t>
            </w:r>
          </w:p>
        </w:tc>
        <w:tc>
          <w:tcPr>
            <w:tcW w:w="1906" w:type="dxa"/>
            <w:tcBorders/>
            <w:vAlign w:val="center"/>
          </w:tcPr>
          <w:p>
            <w:pPr>
              <w:pStyle w:val="TableContents"/>
              <w:bidi w:val="0"/>
              <w:spacing w:before="0" w:after="283"/>
              <w:jc w:val="left"/>
              <w:rPr/>
            </w:pPr>
            <w:r>
              <w:rPr/>
              <w:t>Information for external providers</w:t>
            </w:r>
          </w:p>
        </w:tc>
        <w:tc>
          <w:tcPr>
            <w:tcW w:w="1402" w:type="dxa"/>
            <w:tcBorders/>
            <w:vAlign w:val="center"/>
          </w:tcPr>
          <w:p>
            <w:pPr>
              <w:pStyle w:val="TableContents"/>
              <w:bidi w:val="0"/>
              <w:spacing w:before="0" w:after="283"/>
              <w:jc w:val="left"/>
              <w:rPr/>
            </w:pPr>
            <w:r>
              <w:rPr/>
              <w:t>Not applicable in substance</w:t>
            </w:r>
          </w:p>
        </w:tc>
        <w:tc>
          <w:tcPr>
            <w:tcW w:w="6064" w:type="dxa"/>
            <w:tcBorders/>
            <w:vAlign w:val="center"/>
          </w:tcPr>
          <w:p>
            <w:pPr>
              <w:pStyle w:val="TableContents"/>
              <w:bidi w:val="0"/>
              <w:spacing w:before="0" w:after="283"/>
              <w:jc w:val="left"/>
              <w:rPr/>
            </w:pPr>
            <w:r>
              <w:rPr/>
              <w:t>No subcontracted work; providers are upstream</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8.5.1</w:t>
            </w:r>
          </w:p>
        </w:tc>
        <w:tc>
          <w:tcPr>
            <w:tcW w:w="1906" w:type="dxa"/>
            <w:tcBorders/>
            <w:vAlign w:val="center"/>
          </w:tcPr>
          <w:p>
            <w:pPr>
              <w:pStyle w:val="TableContents"/>
              <w:bidi w:val="0"/>
              <w:spacing w:before="0" w:after="283"/>
              <w:jc w:val="left"/>
              <w:rPr/>
            </w:pPr>
            <w:r>
              <w:rPr/>
              <w:t>Control of production and service provision</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Deployment procedures documented and repeatable (</w:t>
            </w:r>
            <w:r>
              <w:rPr>
                <w:rStyle w:val="SourceText"/>
              </w:rPr>
              <w:t>OFFLINE_DEPLOYMENT.md</w:t>
            </w:r>
            <w:r>
              <w:rPr/>
              <w:t xml:space="preserve">, </w:t>
            </w:r>
            <w:r>
              <w:rPr>
                <w:rStyle w:val="SourceText"/>
              </w:rPr>
              <w:t>scripts/</w:t>
            </w:r>
            <w:r>
              <w:rPr/>
              <w:t>); no release authorisation step</w:t>
            </w:r>
          </w:p>
        </w:tc>
        <w:tc>
          <w:tcPr>
            <w:tcW w:w="1197" w:type="dxa"/>
            <w:tcBorders/>
            <w:vAlign w:val="center"/>
          </w:tcPr>
          <w:p>
            <w:pPr>
              <w:pStyle w:val="TableContents"/>
              <w:bidi w:val="0"/>
              <w:spacing w:before="0" w:after="283"/>
              <w:jc w:val="left"/>
              <w:rPr/>
            </w:pPr>
            <w:r>
              <w:rPr/>
              <w:t>G-01</w:t>
            </w:r>
          </w:p>
        </w:tc>
      </w:tr>
      <w:tr>
        <w:trPr/>
        <w:tc>
          <w:tcPr>
            <w:tcW w:w="770" w:type="dxa"/>
            <w:tcBorders/>
            <w:vAlign w:val="center"/>
          </w:tcPr>
          <w:p>
            <w:pPr>
              <w:pStyle w:val="TableContents"/>
              <w:bidi w:val="0"/>
              <w:spacing w:before="0" w:after="283"/>
              <w:jc w:val="left"/>
              <w:rPr/>
            </w:pPr>
            <w:r>
              <w:rPr/>
              <w:t>8.5.2</w:t>
            </w:r>
          </w:p>
        </w:tc>
        <w:tc>
          <w:tcPr>
            <w:tcW w:w="1906" w:type="dxa"/>
            <w:tcBorders/>
            <w:vAlign w:val="center"/>
          </w:tcPr>
          <w:p>
            <w:pPr>
              <w:pStyle w:val="TableContents"/>
              <w:bidi w:val="0"/>
              <w:spacing w:before="0" w:after="283"/>
              <w:jc w:val="left"/>
              <w:rPr/>
            </w:pPr>
            <w:r>
              <w:rPr>
                <w:rStyle w:val="Strong"/>
              </w:rPr>
              <w:t>Identification and traceability</w:t>
            </w:r>
          </w:p>
        </w:tc>
        <w:tc>
          <w:tcPr>
            <w:tcW w:w="1402" w:type="dxa"/>
            <w:tcBorders/>
            <w:vAlign w:val="center"/>
          </w:tcPr>
          <w:p>
            <w:pPr>
              <w:pStyle w:val="TableContents"/>
              <w:bidi w:val="0"/>
              <w:spacing w:before="0" w:after="283"/>
              <w:jc w:val="left"/>
              <w:rPr/>
            </w:pPr>
            <w:r>
              <w:rPr>
                <w:rStyle w:val="Strong"/>
              </w:rPr>
              <w:t>Gap</w:t>
            </w:r>
          </w:p>
        </w:tc>
        <w:tc>
          <w:tcPr>
            <w:tcW w:w="6064" w:type="dxa"/>
            <w:tcBorders/>
            <w:vAlign w:val="center"/>
          </w:tcPr>
          <w:p>
            <w:pPr>
              <w:pStyle w:val="TableContents"/>
              <w:bidi w:val="0"/>
              <w:spacing w:before="0" w:after="283"/>
              <w:jc w:val="left"/>
              <w:rPr/>
            </w:pPr>
            <w:r>
              <w:rPr/>
              <w:t xml:space="preserve">No tags, no changelog, </w:t>
            </w:r>
            <w:r>
              <w:rPr>
                <w:rStyle w:val="SourceText"/>
              </w:rPr>
              <w:t>package.json</w:t>
            </w:r>
            <w:r>
              <w:rPr/>
              <w:t xml:space="preserve"> is </w:t>
            </w:r>
            <w:r>
              <w:rPr>
                <w:rStyle w:val="SourceText"/>
              </w:rPr>
              <w:t>0.0.0</w:t>
            </w:r>
            <w:r>
              <w:rPr/>
              <w:t>, images untagged, no build identifier. A running instance cannot be traced to a source revision.</w:t>
            </w:r>
          </w:p>
        </w:tc>
        <w:tc>
          <w:tcPr>
            <w:tcW w:w="1197" w:type="dxa"/>
            <w:tcBorders/>
            <w:vAlign w:val="center"/>
          </w:tcPr>
          <w:p>
            <w:pPr>
              <w:pStyle w:val="TableContents"/>
              <w:bidi w:val="0"/>
              <w:spacing w:before="0" w:after="283"/>
              <w:jc w:val="left"/>
              <w:rPr/>
            </w:pPr>
            <w:r>
              <w:rPr>
                <w:rStyle w:val="Strong"/>
              </w:rPr>
              <w:t>G-01</w:t>
            </w:r>
          </w:p>
        </w:tc>
      </w:tr>
      <w:tr>
        <w:trPr/>
        <w:tc>
          <w:tcPr>
            <w:tcW w:w="770" w:type="dxa"/>
            <w:tcBorders/>
            <w:vAlign w:val="center"/>
          </w:tcPr>
          <w:p>
            <w:pPr>
              <w:pStyle w:val="TableContents"/>
              <w:bidi w:val="0"/>
              <w:spacing w:before="0" w:after="283"/>
              <w:jc w:val="left"/>
              <w:rPr/>
            </w:pPr>
            <w:r>
              <w:rPr/>
              <w:t>8.5.3</w:t>
            </w:r>
          </w:p>
        </w:tc>
        <w:tc>
          <w:tcPr>
            <w:tcW w:w="1906" w:type="dxa"/>
            <w:tcBorders/>
            <w:vAlign w:val="center"/>
          </w:tcPr>
          <w:p>
            <w:pPr>
              <w:pStyle w:val="TableContents"/>
              <w:bidi w:val="0"/>
              <w:spacing w:before="0" w:after="283"/>
              <w:jc w:val="left"/>
              <w:rPr/>
            </w:pPr>
            <w:r>
              <w:rPr>
                <w:rStyle w:val="Strong"/>
              </w:rPr>
              <w:t>Property belonging to customers</w:t>
            </w:r>
          </w:p>
        </w:tc>
        <w:tc>
          <w:tcPr>
            <w:tcW w:w="1402" w:type="dxa"/>
            <w:tcBorders/>
            <w:vAlign w:val="center"/>
          </w:tcPr>
          <w:p>
            <w:pPr>
              <w:pStyle w:val="TableContents"/>
              <w:bidi w:val="0"/>
              <w:spacing w:before="0" w:after="283"/>
              <w:jc w:val="left"/>
              <w:rPr/>
            </w:pPr>
            <w:r>
              <w:rPr>
                <w:rStyle w:val="Strong"/>
              </w:rPr>
              <w:t>Partial — with a critical gap</w:t>
            </w:r>
          </w:p>
        </w:tc>
        <w:tc>
          <w:tcPr>
            <w:tcW w:w="6064" w:type="dxa"/>
            <w:tcBorders/>
            <w:vAlign w:val="center"/>
          </w:tcPr>
          <w:p>
            <w:pPr>
              <w:pStyle w:val="TableContents"/>
              <w:bidi w:val="0"/>
              <w:spacing w:before="0" w:after="283"/>
              <w:jc w:val="left"/>
              <w:rPr/>
            </w:pPr>
            <w:r>
              <w:rPr/>
              <w:t xml:space="preserve">Isolation is designed and enforced (namespace predicate, tenant forcing) but has failed twice in the same way; </w:t>
            </w:r>
            <w:r>
              <w:rPr>
                <w:rStyle w:val="Strong"/>
              </w:rPr>
              <w:t>no backup of the only customer-data volume</w:t>
            </w:r>
            <w:r>
              <w:rPr/>
              <w:t>; no retention policy; no encryption at rest; auth off by default and WebSockets outside the auth middleware</w:t>
            </w:r>
          </w:p>
        </w:tc>
        <w:tc>
          <w:tcPr>
            <w:tcW w:w="1197" w:type="dxa"/>
            <w:tcBorders/>
            <w:vAlign w:val="center"/>
          </w:tcPr>
          <w:p>
            <w:pPr>
              <w:pStyle w:val="TableContents"/>
              <w:bidi w:val="0"/>
              <w:spacing w:before="0" w:after="283"/>
              <w:jc w:val="left"/>
              <w:rPr/>
            </w:pPr>
            <w:r>
              <w:rPr>
                <w:rStyle w:val="Strong"/>
              </w:rPr>
              <w:t>G-03, G-04, G-06</w:t>
            </w:r>
          </w:p>
        </w:tc>
      </w:tr>
      <w:tr>
        <w:trPr/>
        <w:tc>
          <w:tcPr>
            <w:tcW w:w="770" w:type="dxa"/>
            <w:tcBorders/>
            <w:vAlign w:val="center"/>
          </w:tcPr>
          <w:p>
            <w:pPr>
              <w:pStyle w:val="TableContents"/>
              <w:bidi w:val="0"/>
              <w:spacing w:before="0" w:after="283"/>
              <w:jc w:val="left"/>
              <w:rPr/>
            </w:pPr>
            <w:r>
              <w:rPr/>
              <w:t>8.5.4</w:t>
            </w:r>
          </w:p>
        </w:tc>
        <w:tc>
          <w:tcPr>
            <w:tcW w:w="1906" w:type="dxa"/>
            <w:tcBorders/>
            <w:vAlign w:val="center"/>
          </w:tcPr>
          <w:p>
            <w:pPr>
              <w:pStyle w:val="TableContents"/>
              <w:bidi w:val="0"/>
              <w:spacing w:before="0" w:after="283"/>
              <w:jc w:val="left"/>
              <w:rPr/>
            </w:pPr>
            <w:r>
              <w:rPr/>
              <w:t>Preservation</w:t>
            </w:r>
          </w:p>
        </w:tc>
        <w:tc>
          <w:tcPr>
            <w:tcW w:w="1402" w:type="dxa"/>
            <w:tcBorders/>
            <w:vAlign w:val="center"/>
          </w:tcPr>
          <w:p>
            <w:pPr>
              <w:pStyle w:val="TableContents"/>
              <w:bidi w:val="0"/>
              <w:spacing w:before="0" w:after="283"/>
              <w:jc w:val="left"/>
              <w:rPr/>
            </w:pPr>
            <w:r>
              <w:rPr>
                <w:rStyle w:val="Strong"/>
              </w:rPr>
              <w:t>Partial</w:t>
            </w:r>
          </w:p>
        </w:tc>
        <w:tc>
          <w:tcPr>
            <w:tcW w:w="6064" w:type="dxa"/>
            <w:tcBorders/>
            <w:vAlign w:val="center"/>
          </w:tcPr>
          <w:p>
            <w:pPr>
              <w:pStyle w:val="TableContents"/>
              <w:bidi w:val="0"/>
              <w:spacing w:before="0" w:after="283"/>
              <w:jc w:val="left"/>
              <w:rPr/>
            </w:pPr>
            <w:r>
              <w:rPr/>
              <w:t>Model volumes preserved by design; customer data now has a backup and restore procedure with a verified restore (2026-09-22) — outstanding: it is manual and on-host</w:t>
            </w:r>
          </w:p>
        </w:tc>
        <w:tc>
          <w:tcPr>
            <w:tcW w:w="1197" w:type="dxa"/>
            <w:tcBorders/>
            <w:vAlign w:val="center"/>
          </w:tcPr>
          <w:p>
            <w:pPr>
              <w:pStyle w:val="TableContents"/>
              <w:bidi w:val="0"/>
              <w:spacing w:before="0" w:after="283"/>
              <w:jc w:val="left"/>
              <w:rPr/>
            </w:pPr>
            <w:r>
              <w:rPr/>
              <w:t>~~G-03~~ closed; see G-22</w:t>
            </w:r>
          </w:p>
        </w:tc>
      </w:tr>
      <w:tr>
        <w:trPr/>
        <w:tc>
          <w:tcPr>
            <w:tcW w:w="770" w:type="dxa"/>
            <w:tcBorders/>
            <w:vAlign w:val="center"/>
          </w:tcPr>
          <w:p>
            <w:pPr>
              <w:pStyle w:val="TableContents"/>
              <w:bidi w:val="0"/>
              <w:spacing w:before="0" w:after="283"/>
              <w:jc w:val="left"/>
              <w:rPr/>
            </w:pPr>
            <w:r>
              <w:rPr/>
              <w:t>8.5.5</w:t>
            </w:r>
          </w:p>
        </w:tc>
        <w:tc>
          <w:tcPr>
            <w:tcW w:w="1906" w:type="dxa"/>
            <w:tcBorders/>
            <w:vAlign w:val="center"/>
          </w:tcPr>
          <w:p>
            <w:pPr>
              <w:pStyle w:val="TableContents"/>
              <w:bidi w:val="0"/>
              <w:spacing w:before="0" w:after="283"/>
              <w:jc w:val="left"/>
              <w:rPr/>
            </w:pPr>
            <w:r>
              <w:rPr/>
              <w:t>Post-delivery activities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User manual and troubleshooting exist; no support process, SLA or escalation defined</w:t>
            </w:r>
          </w:p>
        </w:tc>
        <w:tc>
          <w:tcPr>
            <w:tcW w:w="1197" w:type="dxa"/>
            <w:tcBorders/>
            <w:vAlign w:val="center"/>
          </w:tcPr>
          <w:p>
            <w:pPr>
              <w:pStyle w:val="TableContents"/>
              <w:bidi w:val="0"/>
              <w:spacing w:before="0" w:after="283"/>
              <w:jc w:val="left"/>
              <w:rPr/>
            </w:pPr>
            <w:r>
              <w:rPr/>
              <w:t>G-17</w:t>
            </w:r>
          </w:p>
        </w:tc>
      </w:tr>
      <w:tr>
        <w:trPr/>
        <w:tc>
          <w:tcPr>
            <w:tcW w:w="770" w:type="dxa"/>
            <w:tcBorders/>
            <w:vAlign w:val="center"/>
          </w:tcPr>
          <w:p>
            <w:pPr>
              <w:pStyle w:val="TableContents"/>
              <w:bidi w:val="0"/>
              <w:spacing w:before="0" w:after="283"/>
              <w:jc w:val="left"/>
              <w:rPr/>
            </w:pPr>
            <w:r>
              <w:rPr/>
              <w:t>8.5.6</w:t>
            </w:r>
          </w:p>
        </w:tc>
        <w:tc>
          <w:tcPr>
            <w:tcW w:w="1906" w:type="dxa"/>
            <w:tcBorders/>
            <w:vAlign w:val="center"/>
          </w:tcPr>
          <w:p>
            <w:pPr>
              <w:pStyle w:val="TableContents"/>
              <w:bidi w:val="0"/>
              <w:spacing w:before="0" w:after="283"/>
              <w:jc w:val="left"/>
              <w:rPr/>
            </w:pPr>
            <w:r>
              <w:rPr/>
              <w:t>Control of changes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Git is the mechanism and commit discipline is good; no change register, no significance criteria, no impact assessment</w:t>
            </w:r>
          </w:p>
        </w:tc>
        <w:tc>
          <w:tcPr>
            <w:tcW w:w="1197" w:type="dxa"/>
            <w:tcBorders/>
            <w:vAlign w:val="center"/>
          </w:tcPr>
          <w:p>
            <w:pPr>
              <w:pStyle w:val="TableContents"/>
              <w:bidi w:val="0"/>
              <w:spacing w:before="0" w:after="283"/>
              <w:jc w:val="left"/>
              <w:rPr/>
            </w:pPr>
            <w:r>
              <w:rPr/>
              <w:t>G-18</w:t>
            </w:r>
          </w:p>
        </w:tc>
      </w:tr>
      <w:tr>
        <w:trPr/>
        <w:tc>
          <w:tcPr>
            <w:tcW w:w="770" w:type="dxa"/>
            <w:tcBorders/>
            <w:vAlign w:val="center"/>
          </w:tcPr>
          <w:p>
            <w:pPr>
              <w:pStyle w:val="TableContents"/>
              <w:bidi w:val="0"/>
              <w:spacing w:before="0" w:after="283"/>
              <w:jc w:val="left"/>
              <w:rPr/>
            </w:pPr>
            <w:r>
              <w:rPr/>
              <w:t>8.6</w:t>
            </w:r>
          </w:p>
        </w:tc>
        <w:tc>
          <w:tcPr>
            <w:tcW w:w="1906" w:type="dxa"/>
            <w:tcBorders/>
            <w:vAlign w:val="center"/>
          </w:tcPr>
          <w:p>
            <w:pPr>
              <w:pStyle w:val="TableContents"/>
              <w:bidi w:val="0"/>
              <w:spacing w:before="0" w:after="283"/>
              <w:jc w:val="left"/>
              <w:rPr/>
            </w:pPr>
            <w:r>
              <w:rPr>
                <w:rStyle w:val="Strong"/>
              </w:rPr>
              <w:t>Release of products and services</w:t>
            </w:r>
          </w:p>
        </w:tc>
        <w:tc>
          <w:tcPr>
            <w:tcW w:w="1402" w:type="dxa"/>
            <w:tcBorders/>
            <w:vAlign w:val="center"/>
          </w:tcPr>
          <w:p>
            <w:pPr>
              <w:pStyle w:val="TableContents"/>
              <w:bidi w:val="0"/>
              <w:spacing w:before="0" w:after="283"/>
              <w:jc w:val="left"/>
              <w:rPr/>
            </w:pPr>
            <w:r>
              <w:rPr>
                <w:rStyle w:val="Strong"/>
              </w:rPr>
              <w:t>Gap</w:t>
            </w:r>
          </w:p>
        </w:tc>
        <w:tc>
          <w:tcPr>
            <w:tcW w:w="6064" w:type="dxa"/>
            <w:tcBorders/>
            <w:vAlign w:val="center"/>
          </w:tcPr>
          <w:p>
            <w:pPr>
              <w:pStyle w:val="TableContents"/>
              <w:bidi w:val="0"/>
              <w:spacing w:before="0" w:after="283"/>
              <w:jc w:val="left"/>
              <w:rPr/>
            </w:pPr>
            <w:r>
              <w:rPr/>
              <w:t xml:space="preserve">No release records, no authorisation, no retained verification evidence. </w:t>
            </w:r>
            <w:r>
              <w:rPr>
                <w:rStyle w:val="SourceText"/>
              </w:rPr>
              <w:t>scripts/verify_offline_readiness.sh</w:t>
            </w:r>
            <w:r>
              <w:rPr/>
              <w:t xml:space="preserve"> exists and is called by nothing.</w:t>
            </w:r>
          </w:p>
        </w:tc>
        <w:tc>
          <w:tcPr>
            <w:tcW w:w="1197" w:type="dxa"/>
            <w:tcBorders/>
            <w:vAlign w:val="center"/>
          </w:tcPr>
          <w:p>
            <w:pPr>
              <w:pStyle w:val="TableContents"/>
              <w:bidi w:val="0"/>
              <w:spacing w:before="0" w:after="283"/>
              <w:jc w:val="left"/>
              <w:rPr/>
            </w:pPr>
            <w:r>
              <w:rPr>
                <w:rStyle w:val="Strong"/>
              </w:rPr>
              <w:t>G-02</w:t>
            </w:r>
          </w:p>
        </w:tc>
      </w:tr>
      <w:tr>
        <w:trPr/>
        <w:tc>
          <w:tcPr>
            <w:tcW w:w="770" w:type="dxa"/>
            <w:tcBorders/>
            <w:vAlign w:val="center"/>
          </w:tcPr>
          <w:p>
            <w:pPr>
              <w:pStyle w:val="TableContents"/>
              <w:bidi w:val="0"/>
              <w:spacing w:before="0" w:after="283"/>
              <w:jc w:val="left"/>
              <w:rPr/>
            </w:pPr>
            <w:r>
              <w:rPr/>
              <w:t>8.7</w:t>
            </w:r>
          </w:p>
        </w:tc>
        <w:tc>
          <w:tcPr>
            <w:tcW w:w="1906" w:type="dxa"/>
            <w:tcBorders/>
            <w:vAlign w:val="center"/>
          </w:tcPr>
          <w:p>
            <w:pPr>
              <w:pStyle w:val="TableContents"/>
              <w:bidi w:val="0"/>
              <w:spacing w:before="0" w:after="283"/>
              <w:jc w:val="left"/>
              <w:rPr/>
            </w:pPr>
            <w:r>
              <w:rPr/>
              <w:t>Control of nonconforming outputs</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 xml:space="preserve">Handled well in practice (22 </w:t>
            </w:r>
            <w:r>
              <w:rPr>
                <w:rStyle w:val="SourceText"/>
              </w:rPr>
              <w:t>fix:</w:t>
            </w:r>
            <w:r>
              <w:rPr/>
              <w:t xml:space="preserve"> commits with root cause); no register until REG-04, no disposition or concession process, no customer-notification procedure</w:t>
            </w:r>
          </w:p>
        </w:tc>
        <w:tc>
          <w:tcPr>
            <w:tcW w:w="1197" w:type="dxa"/>
            <w:tcBorders/>
            <w:vAlign w:val="center"/>
          </w:tcPr>
          <w:p>
            <w:pPr>
              <w:pStyle w:val="TableContents"/>
              <w:bidi w:val="0"/>
              <w:spacing w:before="0" w:after="283"/>
              <w:jc w:val="left"/>
              <w:rPr/>
            </w:pPr>
            <w:r>
              <w:rPr/>
              <w:t>G-19</w:t>
            </w:r>
          </w:p>
        </w:tc>
      </w:tr>
      <w:tr>
        <w:trPr/>
        <w:tc>
          <w:tcPr>
            <w:tcW w:w="770" w:type="dxa"/>
            <w:tcBorders/>
            <w:vAlign w:val="center"/>
          </w:tcPr>
          <w:p>
            <w:pPr>
              <w:pStyle w:val="TableContents"/>
              <w:bidi w:val="0"/>
              <w:spacing w:before="0" w:after="283"/>
              <w:jc w:val="left"/>
              <w:rPr/>
            </w:pPr>
            <w:r>
              <w:rPr/>
              <w:t>9.1.1</w:t>
            </w:r>
          </w:p>
        </w:tc>
        <w:tc>
          <w:tcPr>
            <w:tcW w:w="1906" w:type="dxa"/>
            <w:tcBorders/>
            <w:vAlign w:val="center"/>
          </w:tcPr>
          <w:p>
            <w:pPr>
              <w:pStyle w:val="TableContents"/>
              <w:bidi w:val="0"/>
              <w:spacing w:before="0" w:after="283"/>
              <w:jc w:val="left"/>
              <w:rPr/>
            </w:pPr>
            <w:r>
              <w:rPr/>
              <w:t>Monitoring and measurement</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Real measurement exists and is good; not scheduled, not retained, not trended</w:t>
            </w:r>
          </w:p>
        </w:tc>
        <w:tc>
          <w:tcPr>
            <w:tcW w:w="1197" w:type="dxa"/>
            <w:tcBorders/>
            <w:vAlign w:val="center"/>
          </w:tcPr>
          <w:p>
            <w:pPr>
              <w:pStyle w:val="TableContents"/>
              <w:bidi w:val="0"/>
              <w:spacing w:before="0" w:after="283"/>
              <w:jc w:val="left"/>
              <w:rPr/>
            </w:pPr>
            <w:r>
              <w:rPr/>
              <w:t>G-12</w:t>
            </w:r>
          </w:p>
        </w:tc>
      </w:tr>
      <w:tr>
        <w:trPr/>
        <w:tc>
          <w:tcPr>
            <w:tcW w:w="770" w:type="dxa"/>
            <w:tcBorders/>
            <w:vAlign w:val="center"/>
          </w:tcPr>
          <w:p>
            <w:pPr>
              <w:pStyle w:val="TableContents"/>
              <w:bidi w:val="0"/>
              <w:spacing w:before="0" w:after="283"/>
              <w:jc w:val="left"/>
              <w:rPr/>
            </w:pPr>
            <w:r>
              <w:rPr/>
              <w:t>9.1.2</w:t>
            </w:r>
          </w:p>
        </w:tc>
        <w:tc>
          <w:tcPr>
            <w:tcW w:w="1906" w:type="dxa"/>
            <w:tcBorders/>
            <w:vAlign w:val="center"/>
          </w:tcPr>
          <w:p>
            <w:pPr>
              <w:pStyle w:val="TableContents"/>
              <w:bidi w:val="0"/>
              <w:spacing w:before="0" w:after="283"/>
              <w:jc w:val="left"/>
              <w:rPr/>
            </w:pPr>
            <w:r>
              <w:rPr/>
              <w:t>Customer satisfaction</w:t>
            </w:r>
          </w:p>
        </w:tc>
        <w:tc>
          <w:tcPr>
            <w:tcW w:w="1402" w:type="dxa"/>
            <w:tcBorders/>
            <w:vAlign w:val="center"/>
          </w:tcPr>
          <w:p>
            <w:pPr>
              <w:pStyle w:val="TableContents"/>
              <w:bidi w:val="0"/>
              <w:spacing w:before="0" w:after="283"/>
              <w:jc w:val="left"/>
              <w:rPr/>
            </w:pPr>
            <w:r>
              <w:rPr/>
              <w:t>Gap</w:t>
            </w:r>
          </w:p>
        </w:tc>
        <w:tc>
          <w:tcPr>
            <w:tcW w:w="6064" w:type="dxa"/>
            <w:tcBorders/>
            <w:vAlign w:val="center"/>
          </w:tcPr>
          <w:p>
            <w:pPr>
              <w:pStyle w:val="TableContents"/>
              <w:bidi w:val="0"/>
              <w:spacing w:before="0" w:after="283"/>
              <w:jc w:val="left"/>
              <w:rPr/>
            </w:pPr>
            <w:r>
              <w:rPr/>
              <w:t>No method defined, no data</w:t>
            </w:r>
          </w:p>
        </w:tc>
        <w:tc>
          <w:tcPr>
            <w:tcW w:w="1197" w:type="dxa"/>
            <w:tcBorders/>
            <w:vAlign w:val="center"/>
          </w:tcPr>
          <w:p>
            <w:pPr>
              <w:pStyle w:val="TableContents"/>
              <w:bidi w:val="0"/>
              <w:spacing w:before="0" w:after="283"/>
              <w:jc w:val="left"/>
              <w:rPr/>
            </w:pPr>
            <w:r>
              <w:rPr/>
              <w:t>G-15</w:t>
            </w:r>
          </w:p>
        </w:tc>
      </w:tr>
      <w:tr>
        <w:trPr/>
        <w:tc>
          <w:tcPr>
            <w:tcW w:w="770" w:type="dxa"/>
            <w:tcBorders/>
            <w:vAlign w:val="center"/>
          </w:tcPr>
          <w:p>
            <w:pPr>
              <w:pStyle w:val="TableContents"/>
              <w:bidi w:val="0"/>
              <w:spacing w:before="0" w:after="283"/>
              <w:jc w:val="left"/>
              <w:rPr/>
            </w:pPr>
            <w:r>
              <w:rPr/>
              <w:t>9.1.3</w:t>
            </w:r>
          </w:p>
        </w:tc>
        <w:tc>
          <w:tcPr>
            <w:tcW w:w="1906" w:type="dxa"/>
            <w:tcBorders/>
            <w:vAlign w:val="center"/>
          </w:tcPr>
          <w:p>
            <w:pPr>
              <w:pStyle w:val="TableContents"/>
              <w:bidi w:val="0"/>
              <w:spacing w:before="0" w:after="283"/>
              <w:jc w:val="left"/>
              <w:rPr/>
            </w:pPr>
            <w:r>
              <w:rPr/>
              <w:t>Analysis and evaluation</w:t>
            </w:r>
          </w:p>
        </w:tc>
        <w:tc>
          <w:tcPr>
            <w:tcW w:w="1402" w:type="dxa"/>
            <w:tcBorders/>
            <w:vAlign w:val="center"/>
          </w:tcPr>
          <w:p>
            <w:pPr>
              <w:pStyle w:val="TableContents"/>
              <w:bidi w:val="0"/>
              <w:spacing w:before="0" w:after="283"/>
              <w:jc w:val="left"/>
              <w:rPr/>
            </w:pPr>
            <w:r>
              <w:rPr/>
              <w:t>Gap</w:t>
            </w:r>
          </w:p>
        </w:tc>
        <w:tc>
          <w:tcPr>
            <w:tcW w:w="6064" w:type="dxa"/>
            <w:tcBorders/>
            <w:vAlign w:val="center"/>
          </w:tcPr>
          <w:p>
            <w:pPr>
              <w:pStyle w:val="TableContents"/>
              <w:bidi w:val="0"/>
              <w:spacing w:before="0" w:after="283"/>
              <w:jc w:val="left"/>
              <w:rPr/>
            </w:pPr>
            <w:r>
              <w:rPr/>
              <w:t>No periodic analysis; the paper harness is the closest thing and it was a one-off campaign</w:t>
            </w:r>
          </w:p>
        </w:tc>
        <w:tc>
          <w:tcPr>
            <w:tcW w:w="1197" w:type="dxa"/>
            <w:tcBorders/>
            <w:vAlign w:val="center"/>
          </w:tcPr>
          <w:p>
            <w:pPr>
              <w:pStyle w:val="TableContents"/>
              <w:bidi w:val="0"/>
              <w:spacing w:before="0" w:after="283"/>
              <w:jc w:val="left"/>
              <w:rPr/>
            </w:pPr>
            <w:r>
              <w:rPr/>
              <w:t>G-12</w:t>
            </w:r>
          </w:p>
        </w:tc>
      </w:tr>
      <w:tr>
        <w:trPr/>
        <w:tc>
          <w:tcPr>
            <w:tcW w:w="770" w:type="dxa"/>
            <w:tcBorders/>
            <w:vAlign w:val="center"/>
          </w:tcPr>
          <w:p>
            <w:pPr>
              <w:pStyle w:val="TableContents"/>
              <w:bidi w:val="0"/>
              <w:spacing w:before="0" w:after="283"/>
              <w:jc w:val="left"/>
              <w:rPr/>
            </w:pPr>
            <w:r>
              <w:rPr/>
              <w:t>9.2</w:t>
            </w:r>
          </w:p>
        </w:tc>
        <w:tc>
          <w:tcPr>
            <w:tcW w:w="1906" w:type="dxa"/>
            <w:tcBorders/>
            <w:vAlign w:val="center"/>
          </w:tcPr>
          <w:p>
            <w:pPr>
              <w:pStyle w:val="TableContents"/>
              <w:bidi w:val="0"/>
              <w:spacing w:before="0" w:after="283"/>
              <w:jc w:val="left"/>
              <w:rPr/>
            </w:pPr>
            <w:r>
              <w:rPr>
                <w:rStyle w:val="Strong"/>
              </w:rPr>
              <w:t>Internal audit</w:t>
            </w:r>
          </w:p>
        </w:tc>
        <w:tc>
          <w:tcPr>
            <w:tcW w:w="1402" w:type="dxa"/>
            <w:tcBorders/>
            <w:vAlign w:val="center"/>
          </w:tcPr>
          <w:p>
            <w:pPr>
              <w:pStyle w:val="TableContents"/>
              <w:bidi w:val="0"/>
              <w:spacing w:before="0" w:after="283"/>
              <w:jc w:val="left"/>
              <w:rPr/>
            </w:pPr>
            <w:r>
              <w:rPr>
                <w:rStyle w:val="Strong"/>
              </w:rPr>
              <w:t>Gap</w:t>
            </w:r>
          </w:p>
        </w:tc>
        <w:tc>
          <w:tcPr>
            <w:tcW w:w="6064" w:type="dxa"/>
            <w:tcBorders/>
            <w:vAlign w:val="center"/>
          </w:tcPr>
          <w:p>
            <w:pPr>
              <w:pStyle w:val="TableContents"/>
              <w:bidi w:val="0"/>
              <w:spacing w:before="0" w:after="283"/>
              <w:jc w:val="left"/>
              <w:rPr/>
            </w:pPr>
            <w:r>
              <w:rPr/>
              <w:t>None conducted. Impartiality (9.2.2 c) cannot currently be met internally — one person.</w:t>
            </w:r>
          </w:p>
        </w:tc>
        <w:tc>
          <w:tcPr>
            <w:tcW w:w="1197" w:type="dxa"/>
            <w:tcBorders/>
            <w:vAlign w:val="center"/>
          </w:tcPr>
          <w:p>
            <w:pPr>
              <w:pStyle w:val="TableContents"/>
              <w:bidi w:val="0"/>
              <w:spacing w:before="0" w:after="283"/>
              <w:jc w:val="left"/>
              <w:rPr/>
            </w:pPr>
            <w:r>
              <w:rPr>
                <w:rStyle w:val="Strong"/>
              </w:rPr>
              <w:t>G-20</w:t>
            </w:r>
          </w:p>
        </w:tc>
      </w:tr>
      <w:tr>
        <w:trPr/>
        <w:tc>
          <w:tcPr>
            <w:tcW w:w="770" w:type="dxa"/>
            <w:tcBorders/>
            <w:vAlign w:val="center"/>
          </w:tcPr>
          <w:p>
            <w:pPr>
              <w:pStyle w:val="TableContents"/>
              <w:bidi w:val="0"/>
              <w:spacing w:before="0" w:after="283"/>
              <w:jc w:val="left"/>
              <w:rPr/>
            </w:pPr>
            <w:r>
              <w:rPr/>
              <w:t>9.3</w:t>
            </w:r>
          </w:p>
        </w:tc>
        <w:tc>
          <w:tcPr>
            <w:tcW w:w="1906" w:type="dxa"/>
            <w:tcBorders/>
            <w:vAlign w:val="center"/>
          </w:tcPr>
          <w:p>
            <w:pPr>
              <w:pStyle w:val="TableContents"/>
              <w:bidi w:val="0"/>
              <w:spacing w:before="0" w:after="283"/>
              <w:jc w:val="left"/>
              <w:rPr/>
            </w:pPr>
            <w:r>
              <w:rPr>
                <w:rStyle w:val="Strong"/>
              </w:rPr>
              <w:t>Management review</w:t>
            </w:r>
          </w:p>
        </w:tc>
        <w:tc>
          <w:tcPr>
            <w:tcW w:w="1402" w:type="dxa"/>
            <w:tcBorders/>
            <w:vAlign w:val="center"/>
          </w:tcPr>
          <w:p>
            <w:pPr>
              <w:pStyle w:val="TableContents"/>
              <w:bidi w:val="0"/>
              <w:spacing w:before="0" w:after="283"/>
              <w:jc w:val="left"/>
              <w:rPr/>
            </w:pPr>
            <w:r>
              <w:rPr>
                <w:rStyle w:val="Strong"/>
              </w:rPr>
              <w:t>Gap</w:t>
            </w:r>
          </w:p>
        </w:tc>
        <w:tc>
          <w:tcPr>
            <w:tcW w:w="6064" w:type="dxa"/>
            <w:tcBorders/>
            <w:vAlign w:val="center"/>
          </w:tcPr>
          <w:p>
            <w:pPr>
              <w:pStyle w:val="TableContents"/>
              <w:bidi w:val="0"/>
              <w:spacing w:before="0" w:after="283"/>
              <w:jc w:val="left"/>
              <w:rPr/>
            </w:pPr>
            <w:r>
              <w:rPr/>
              <w:t>None held</w:t>
            </w:r>
          </w:p>
        </w:tc>
        <w:tc>
          <w:tcPr>
            <w:tcW w:w="1197" w:type="dxa"/>
            <w:tcBorders/>
            <w:vAlign w:val="center"/>
          </w:tcPr>
          <w:p>
            <w:pPr>
              <w:pStyle w:val="TableContents"/>
              <w:bidi w:val="0"/>
              <w:spacing w:before="0" w:after="283"/>
              <w:jc w:val="left"/>
              <w:rPr/>
            </w:pPr>
            <w:r>
              <w:rPr>
                <w:rStyle w:val="Strong"/>
              </w:rPr>
              <w:t>G-21</w:t>
            </w:r>
          </w:p>
        </w:tc>
      </w:tr>
      <w:tr>
        <w:trPr/>
        <w:tc>
          <w:tcPr>
            <w:tcW w:w="770" w:type="dxa"/>
            <w:tcBorders/>
            <w:vAlign w:val="center"/>
          </w:tcPr>
          <w:p>
            <w:pPr>
              <w:pStyle w:val="TableContents"/>
              <w:bidi w:val="0"/>
              <w:spacing w:before="0" w:after="283"/>
              <w:jc w:val="left"/>
              <w:rPr/>
            </w:pPr>
            <w:r>
              <w:rPr/>
              <w:t>10.1</w:t>
            </w:r>
          </w:p>
        </w:tc>
        <w:tc>
          <w:tcPr>
            <w:tcW w:w="1906" w:type="dxa"/>
            <w:tcBorders/>
            <w:vAlign w:val="center"/>
          </w:tcPr>
          <w:p>
            <w:pPr>
              <w:pStyle w:val="TableContents"/>
              <w:bidi w:val="0"/>
              <w:spacing w:before="0" w:after="283"/>
              <w:jc w:val="left"/>
              <w:rPr/>
            </w:pPr>
            <w:r>
              <w:rPr/>
              <w:t>Improvement</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 xml:space="preserve">Improvement clearly happens (a feature was disabled because it measured worse — </w:t>
            </w:r>
            <w:r>
              <w:rPr>
                <w:rStyle w:val="SourceText"/>
              </w:rPr>
              <w:t>2decb99</w:t>
            </w:r>
            <w:r>
              <w:rPr/>
              <w:t>); not systematic</w:t>
            </w:r>
          </w:p>
        </w:tc>
        <w:tc>
          <w:tcPr>
            <w:tcW w:w="1197" w:type="dxa"/>
            <w:tcBorders/>
            <w:vAlign w:val="center"/>
          </w:tcPr>
          <w:p>
            <w:pPr>
              <w:pStyle w:val="TableContents"/>
              <w:bidi w:val="0"/>
              <w:spacing w:before="0" w:after="283"/>
              <w:jc w:val="left"/>
              <w:rPr/>
            </w:pPr>
            <w:r>
              <w:rPr/>
              <w:t>—</w:t>
            </w:r>
          </w:p>
        </w:tc>
      </w:tr>
      <w:tr>
        <w:trPr/>
        <w:tc>
          <w:tcPr>
            <w:tcW w:w="770" w:type="dxa"/>
            <w:tcBorders/>
            <w:vAlign w:val="center"/>
          </w:tcPr>
          <w:p>
            <w:pPr>
              <w:pStyle w:val="TableContents"/>
              <w:bidi w:val="0"/>
              <w:spacing w:before="0" w:after="283"/>
              <w:jc w:val="left"/>
              <w:rPr/>
            </w:pPr>
            <w:r>
              <w:rPr/>
              <w:t>10.2</w:t>
            </w:r>
          </w:p>
        </w:tc>
        <w:tc>
          <w:tcPr>
            <w:tcW w:w="1906" w:type="dxa"/>
            <w:tcBorders/>
            <w:vAlign w:val="center"/>
          </w:tcPr>
          <w:p>
            <w:pPr>
              <w:pStyle w:val="TableContents"/>
              <w:bidi w:val="0"/>
              <w:spacing w:before="0" w:after="283"/>
              <w:jc w:val="left"/>
              <w:rPr/>
            </w:pPr>
            <w:r>
              <w:rPr/>
              <w:t>Nonconformity and corrective action</w:t>
            </w:r>
          </w:p>
        </w:tc>
        <w:tc>
          <w:tcPr>
            <w:tcW w:w="1402" w:type="dxa"/>
            <w:tcBorders/>
            <w:vAlign w:val="center"/>
          </w:tcPr>
          <w:p>
            <w:pPr>
              <w:pStyle w:val="TableContents"/>
              <w:bidi w:val="0"/>
              <w:spacing w:before="0" w:after="283"/>
              <w:jc w:val="left"/>
              <w:rPr/>
            </w:pPr>
            <w:r>
              <w:rPr/>
              <w:t>Partial</w:t>
            </w:r>
          </w:p>
        </w:tc>
        <w:tc>
          <w:tcPr>
            <w:tcW w:w="6064" w:type="dxa"/>
            <w:tcBorders/>
            <w:vAlign w:val="center"/>
          </w:tcPr>
          <w:p>
            <w:pPr>
              <w:pStyle w:val="TableContents"/>
              <w:bidi w:val="0"/>
              <w:spacing w:before="0" w:after="283"/>
              <w:jc w:val="left"/>
              <w:rPr/>
            </w:pPr>
            <w:r>
              <w:rPr/>
              <w:t xml:space="preserve">Corrective action is practised and sometimes verified; </w:t>
            </w:r>
            <w:r>
              <w:rPr>
                <w:rStyle w:val="Strong"/>
              </w:rPr>
              <w:t>of 6 retrospective defect records, 3 record effectiveness verification and 3 do not</w:t>
            </w:r>
            <w:r>
              <w:rPr/>
              <w:t>; no register before REG-04</w:t>
            </w:r>
          </w:p>
        </w:tc>
        <w:tc>
          <w:tcPr>
            <w:tcW w:w="1197" w:type="dxa"/>
            <w:tcBorders/>
            <w:vAlign w:val="center"/>
          </w:tcPr>
          <w:p>
            <w:pPr>
              <w:pStyle w:val="TableContents"/>
              <w:bidi w:val="0"/>
              <w:spacing w:before="0" w:after="283"/>
              <w:jc w:val="left"/>
              <w:rPr/>
            </w:pPr>
            <w:r>
              <w:rPr/>
              <w:t>G-19</w:t>
            </w:r>
          </w:p>
        </w:tc>
      </w:tr>
      <w:tr>
        <w:trPr/>
        <w:tc>
          <w:tcPr>
            <w:tcW w:w="770" w:type="dxa"/>
            <w:tcBorders/>
            <w:vAlign w:val="center"/>
          </w:tcPr>
          <w:p>
            <w:pPr>
              <w:pStyle w:val="TableContents"/>
              <w:bidi w:val="0"/>
              <w:spacing w:before="0" w:after="283"/>
              <w:jc w:val="left"/>
              <w:rPr/>
            </w:pPr>
            <w:r>
              <w:rPr/>
              <w:t>10.3</w:t>
            </w:r>
          </w:p>
        </w:tc>
        <w:tc>
          <w:tcPr>
            <w:tcW w:w="1906" w:type="dxa"/>
            <w:tcBorders/>
            <w:vAlign w:val="center"/>
          </w:tcPr>
          <w:p>
            <w:pPr>
              <w:pStyle w:val="TableContents"/>
              <w:bidi w:val="0"/>
              <w:spacing w:before="0" w:after="283"/>
              <w:jc w:val="left"/>
              <w:rPr/>
            </w:pPr>
            <w:r>
              <w:rPr/>
              <w:t>Continual improvement</w:t>
            </w:r>
          </w:p>
        </w:tc>
        <w:tc>
          <w:tcPr>
            <w:tcW w:w="1402" w:type="dxa"/>
            <w:tcBorders/>
            <w:vAlign w:val="center"/>
          </w:tcPr>
          <w:p>
            <w:pPr>
              <w:pStyle w:val="TableContents"/>
              <w:bidi w:val="0"/>
              <w:spacing w:before="0" w:after="283"/>
              <w:jc w:val="left"/>
              <w:rPr/>
            </w:pPr>
            <w:r>
              <w:rPr/>
              <w:t>Gap</w:t>
            </w:r>
          </w:p>
        </w:tc>
        <w:tc>
          <w:tcPr>
            <w:tcW w:w="6064" w:type="dxa"/>
            <w:tcBorders/>
            <w:vAlign w:val="center"/>
          </w:tcPr>
          <w:p>
            <w:pPr>
              <w:pStyle w:val="TableContents"/>
              <w:bidi w:val="0"/>
              <w:spacing w:before="0" w:after="283"/>
              <w:jc w:val="left"/>
              <w:rPr/>
            </w:pPr>
            <w:r>
              <w:rPr/>
              <w:t>No mechanism; depends on 9.3 which has not happened</w:t>
            </w:r>
          </w:p>
        </w:tc>
        <w:tc>
          <w:tcPr>
            <w:tcW w:w="1197" w:type="dxa"/>
            <w:tcBorders/>
            <w:vAlign w:val="center"/>
          </w:tcPr>
          <w:p>
            <w:pPr>
              <w:pStyle w:val="TableContents"/>
              <w:bidi w:val="0"/>
              <w:spacing w:before="0" w:after="283"/>
              <w:jc w:val="left"/>
              <w:rPr/>
            </w:pPr>
            <w:r>
              <w:rPr/>
              <w:t>G-21</w:t>
            </w:r>
          </w:p>
        </w:tc>
      </w:tr>
    </w:tbl>
    <w:p>
      <w:pPr>
        <w:pStyle w:val="Heading2"/>
        <w:bidi w:val="0"/>
        <w:jc w:val="left"/>
        <w:rPr/>
      </w:pPr>
      <w:r>
        <w:rPr/>
        <w:t>3. Prioritised gap list</w:t>
      </w:r>
    </w:p>
    <w:p>
      <w:pPr>
        <w:pStyle w:val="BodyText"/>
        <w:bidi w:val="0"/>
        <w:jc w:val="left"/>
        <w:rPr/>
      </w:pPr>
      <w:r>
        <w:rPr/>
        <w:t xml:space="preserve">Priority reflects </w:t>
      </w:r>
      <w:r>
        <w:rPr>
          <w:rStyle w:val="Strong"/>
        </w:rPr>
        <w:t>consequence if left open</w:t>
      </w:r>
      <w:r>
        <w:rPr/>
        <w:t>, not audit severity — the two differ, and where they differ the operational consequence wins.</w:t>
      </w:r>
    </w:p>
    <w:p>
      <w:pPr>
        <w:pStyle w:val="Heading3"/>
        <w:bidi w:val="0"/>
        <w:jc w:val="left"/>
        <w:rPr/>
      </w:pPr>
      <w:r>
        <w:rPr/>
        <w:t>Priority 1 — close before the next customer deployment</w:t>
      </w:r>
    </w:p>
    <w:tbl>
      <w:tblPr>
        <w:tblW w:w="11339" w:type="dxa"/>
        <w:jc w:val="left"/>
        <w:tblInd w:w="0" w:type="dxa"/>
        <w:tblLayout w:type="fixed"/>
        <w:tblCellMar>
          <w:top w:w="28" w:type="dxa"/>
          <w:left w:w="28" w:type="dxa"/>
          <w:bottom w:w="28" w:type="dxa"/>
          <w:right w:w="28" w:type="dxa"/>
        </w:tblCellMar>
      </w:tblPr>
      <w:tblGrid>
        <w:gridCol w:w="596"/>
        <w:gridCol w:w="7000"/>
        <w:gridCol w:w="754"/>
        <w:gridCol w:w="2324"/>
        <w:gridCol w:w="665"/>
      </w:tblGrid>
      <w:tr>
        <w:trPr>
          <w:tblHeader w:val="true"/>
        </w:trPr>
        <w:tc>
          <w:tcPr>
            <w:tcW w:w="596" w:type="dxa"/>
            <w:tcBorders/>
            <w:vAlign w:val="center"/>
          </w:tcPr>
          <w:p>
            <w:pPr>
              <w:pStyle w:val="TableHeading"/>
              <w:suppressLineNumbers/>
              <w:shd w:fill="1F3A5F" w:val="clear"/>
              <w:bidi w:val="0"/>
              <w:spacing w:before="0" w:after="283"/>
              <w:jc w:val="center"/>
              <w:rPr/>
            </w:pPr>
            <w:r>
              <w:rPr/>
              <w:t>Ref</w:t>
            </w:r>
          </w:p>
        </w:tc>
        <w:tc>
          <w:tcPr>
            <w:tcW w:w="7000" w:type="dxa"/>
            <w:tcBorders/>
            <w:vAlign w:val="center"/>
          </w:tcPr>
          <w:p>
            <w:pPr>
              <w:pStyle w:val="TableHeading"/>
              <w:suppressLineNumbers/>
              <w:shd w:fill="1F3A5F" w:val="clear"/>
              <w:bidi w:val="0"/>
              <w:spacing w:before="0" w:after="283"/>
              <w:jc w:val="center"/>
              <w:rPr/>
            </w:pPr>
            <w:r>
              <w:rPr/>
              <w:t>Gap</w:t>
            </w:r>
          </w:p>
        </w:tc>
        <w:tc>
          <w:tcPr>
            <w:tcW w:w="754" w:type="dxa"/>
            <w:tcBorders/>
            <w:vAlign w:val="center"/>
          </w:tcPr>
          <w:p>
            <w:pPr>
              <w:pStyle w:val="TableHeading"/>
              <w:suppressLineNumbers/>
              <w:shd w:fill="1F3A5F" w:val="clear"/>
              <w:bidi w:val="0"/>
              <w:spacing w:before="0" w:after="283"/>
              <w:jc w:val="center"/>
              <w:rPr/>
            </w:pPr>
            <w:r>
              <w:rPr/>
              <w:t>Clause</w:t>
            </w:r>
          </w:p>
        </w:tc>
        <w:tc>
          <w:tcPr>
            <w:tcW w:w="2324" w:type="dxa"/>
            <w:tcBorders/>
            <w:vAlign w:val="center"/>
          </w:tcPr>
          <w:p>
            <w:pPr>
              <w:pStyle w:val="TableHeading"/>
              <w:suppressLineNumbers/>
              <w:shd w:fill="1F3A5F" w:val="clear"/>
              <w:bidi w:val="0"/>
              <w:spacing w:before="0" w:after="283"/>
              <w:jc w:val="center"/>
              <w:rPr/>
            </w:pPr>
            <w:r>
              <w:rPr/>
              <w:t>Consequence if left</w:t>
            </w:r>
          </w:p>
        </w:tc>
        <w:tc>
          <w:tcPr>
            <w:tcW w:w="665" w:type="dxa"/>
            <w:tcBorders/>
            <w:vAlign w:val="center"/>
          </w:tcPr>
          <w:p>
            <w:pPr>
              <w:pStyle w:val="TableHeading"/>
              <w:suppressLineNumbers/>
              <w:shd w:fill="1F3A5F" w:val="clear"/>
              <w:bidi w:val="0"/>
              <w:spacing w:before="0" w:after="283"/>
              <w:jc w:val="center"/>
              <w:rPr/>
            </w:pPr>
            <w:r>
              <w:rPr/>
              <w:t>Effort</w:t>
            </w:r>
          </w:p>
        </w:tc>
      </w:tr>
      <w:tr>
        <w:trPr/>
        <w:tc>
          <w:tcPr>
            <w:tcW w:w="596" w:type="dxa"/>
            <w:tcBorders/>
            <w:vAlign w:val="center"/>
          </w:tcPr>
          <w:p>
            <w:pPr>
              <w:pStyle w:val="TableContents"/>
              <w:bidi w:val="0"/>
              <w:spacing w:before="0" w:after="283"/>
              <w:jc w:val="left"/>
              <w:rPr/>
            </w:pPr>
            <w:r>
              <w:rPr/>
              <w:t>~~G-03~~</w:t>
            </w:r>
          </w:p>
        </w:tc>
        <w:tc>
          <w:tcPr>
            <w:tcW w:w="7000" w:type="dxa"/>
            <w:tcBorders/>
            <w:vAlign w:val="center"/>
          </w:tcPr>
          <w:p>
            <w:pPr>
              <w:pStyle w:val="TableContents"/>
              <w:bidi w:val="0"/>
              <w:spacing w:before="0" w:after="283"/>
              <w:jc w:val="left"/>
              <w:rPr/>
            </w:pPr>
            <w:r>
              <w:rPr>
                <w:rStyle w:val="Strong"/>
              </w:rPr>
              <w:t>CLOSED 2026-09-22</w:t>
            </w:r>
            <w:r>
              <w:rPr/>
              <w:t xml:space="preserve"> — </w:t>
            </w:r>
            <w:r>
              <w:rPr>
                <w:rStyle w:val="SourceText"/>
              </w:rPr>
              <w:t>scripts/backup_data.sh</w:t>
            </w:r>
            <w:r>
              <w:rPr/>
              <w:t xml:space="preserve"> / </w:t>
            </w:r>
            <w:r>
              <w:rPr>
                <w:rStyle w:val="SourceText"/>
              </w:rPr>
              <w:t>restore_data.sh</w:t>
            </w:r>
            <w:r>
              <w:rPr/>
              <w:t>; restore verified into a throwaway volume (integrity_check ok, 32 tables). Superseded by G-22 below.</w:t>
            </w:r>
          </w:p>
        </w:tc>
        <w:tc>
          <w:tcPr>
            <w:tcW w:w="754" w:type="dxa"/>
            <w:tcBorders/>
            <w:vAlign w:val="center"/>
          </w:tcPr>
          <w:p>
            <w:pPr>
              <w:pStyle w:val="TableContents"/>
              <w:bidi w:val="0"/>
              <w:spacing w:before="0" w:after="283"/>
              <w:jc w:val="left"/>
              <w:rPr/>
            </w:pPr>
            <w:r>
              <w:rPr/>
              <w:t>8.5.3, 8.5.4</w:t>
            </w:r>
          </w:p>
        </w:tc>
        <w:tc>
          <w:tcPr>
            <w:tcW w:w="2324" w:type="dxa"/>
            <w:tcBorders/>
            <w:vAlign w:val="center"/>
          </w:tcPr>
          <w:p>
            <w:pPr>
              <w:pStyle w:val="TableContents"/>
              <w:bidi w:val="0"/>
              <w:spacing w:before="0" w:after="283"/>
              <w:jc w:val="left"/>
              <w:rPr/>
            </w:pPr>
            <w:r>
              <w:rPr/>
              <w:t>—</w:t>
            </w:r>
          </w:p>
        </w:tc>
        <w:tc>
          <w:tcPr>
            <w:tcW w:w="665" w:type="dxa"/>
            <w:tcBorders/>
            <w:vAlign w:val="center"/>
          </w:tcPr>
          <w:p>
            <w:pPr>
              <w:pStyle w:val="TableContents"/>
              <w:bidi w:val="0"/>
              <w:spacing w:before="0" w:after="283"/>
              <w:jc w:val="left"/>
              <w:rPr/>
            </w:pPr>
            <w:r>
              <w:rPr/>
              <w:t>done</w:t>
            </w:r>
          </w:p>
        </w:tc>
      </w:tr>
      <w:tr>
        <w:trPr/>
        <w:tc>
          <w:tcPr>
            <w:tcW w:w="596" w:type="dxa"/>
            <w:tcBorders/>
            <w:vAlign w:val="center"/>
          </w:tcPr>
          <w:p>
            <w:pPr>
              <w:pStyle w:val="TableContents"/>
              <w:bidi w:val="0"/>
              <w:spacing w:before="0" w:after="283"/>
              <w:jc w:val="left"/>
              <w:rPr/>
            </w:pPr>
            <w:r>
              <w:rPr/>
              <w:t>~~G-11~~</w:t>
            </w:r>
          </w:p>
        </w:tc>
        <w:tc>
          <w:tcPr>
            <w:tcW w:w="7000" w:type="dxa"/>
            <w:tcBorders/>
            <w:vAlign w:val="center"/>
          </w:tcPr>
          <w:p>
            <w:pPr>
              <w:pStyle w:val="TableContents"/>
              <w:bidi w:val="0"/>
              <w:spacing w:before="0" w:after="283"/>
              <w:jc w:val="left"/>
              <w:rPr/>
            </w:pPr>
            <w:r>
              <w:rPr>
                <w:rStyle w:val="Strong"/>
              </w:rPr>
              <w:t>CLOSED 2026-09-22</w:t>
            </w:r>
            <w:r>
              <w:rPr/>
              <w:t xml:space="preserve"> — bounded </w:t>
            </w:r>
            <w:r>
              <w:rPr>
                <w:rStyle w:val="SourceText"/>
              </w:rPr>
              <w:t>json-file</w:t>
            </w:r>
            <w:r>
              <w:rPr/>
              <w:t xml:space="preserve"> logging (50 MB x 5) on all six services. Applies on the next </w:t>
            </w:r>
            <w:r>
              <w:rPr>
                <w:rStyle w:val="SourceText"/>
              </w:rPr>
              <w:t>docker compose up -d</w:t>
            </w:r>
            <w:r>
              <w:rPr/>
              <w:t xml:space="preserve">; running containers keep their original config until recreated. </w:t>
            </w:r>
            <w:r>
              <w:rPr>
                <w:rStyle w:val="Emphasis"/>
              </w:rPr>
              <w:t>Applied on the reference host 2026-10-06 (verified).</w:t>
            </w:r>
          </w:p>
        </w:tc>
        <w:tc>
          <w:tcPr>
            <w:tcW w:w="754" w:type="dxa"/>
            <w:tcBorders/>
            <w:vAlign w:val="center"/>
          </w:tcPr>
          <w:p>
            <w:pPr>
              <w:pStyle w:val="TableContents"/>
              <w:bidi w:val="0"/>
              <w:spacing w:before="0" w:after="283"/>
              <w:jc w:val="left"/>
              <w:rPr/>
            </w:pPr>
            <w:r>
              <w:rPr/>
              <w:t>8.5.1</w:t>
            </w:r>
          </w:p>
        </w:tc>
        <w:tc>
          <w:tcPr>
            <w:tcW w:w="2324" w:type="dxa"/>
            <w:tcBorders/>
            <w:vAlign w:val="center"/>
          </w:tcPr>
          <w:p>
            <w:pPr>
              <w:pStyle w:val="TableContents"/>
              <w:bidi w:val="0"/>
              <w:spacing w:before="0" w:after="283"/>
              <w:jc w:val="left"/>
              <w:rPr/>
            </w:pPr>
            <w:r>
              <w:rPr/>
              <w:t>—</w:t>
            </w:r>
          </w:p>
        </w:tc>
        <w:tc>
          <w:tcPr>
            <w:tcW w:w="665" w:type="dxa"/>
            <w:tcBorders/>
            <w:vAlign w:val="center"/>
          </w:tcPr>
          <w:p>
            <w:pPr>
              <w:pStyle w:val="TableContents"/>
              <w:bidi w:val="0"/>
              <w:spacing w:before="0" w:after="283"/>
              <w:jc w:val="left"/>
              <w:rPr/>
            </w:pPr>
            <w:r>
              <w:rPr/>
              <w:t>done</w:t>
            </w:r>
          </w:p>
        </w:tc>
      </w:tr>
      <w:tr>
        <w:trPr/>
        <w:tc>
          <w:tcPr>
            <w:tcW w:w="596" w:type="dxa"/>
            <w:tcBorders/>
            <w:vAlign w:val="center"/>
          </w:tcPr>
          <w:p>
            <w:pPr>
              <w:pStyle w:val="TableContents"/>
              <w:bidi w:val="0"/>
              <w:spacing w:before="0" w:after="283"/>
              <w:jc w:val="left"/>
              <w:rPr/>
            </w:pPr>
            <w:r>
              <w:rPr/>
              <w:t>~~G-22~~</w:t>
            </w:r>
          </w:p>
        </w:tc>
        <w:tc>
          <w:tcPr>
            <w:tcW w:w="7000" w:type="dxa"/>
            <w:tcBorders/>
            <w:vAlign w:val="center"/>
          </w:tcPr>
          <w:p>
            <w:pPr>
              <w:pStyle w:val="TableContents"/>
              <w:bidi w:val="0"/>
              <w:spacing w:before="0" w:after="283"/>
              <w:jc w:val="left"/>
              <w:rPr/>
            </w:pPr>
            <w:r>
              <w:rPr>
                <w:rStyle w:val="Strong"/>
              </w:rPr>
              <w:t>CLOSED 2026-09-22</w:t>
            </w:r>
            <w:r>
              <w:rPr/>
              <w:t xml:space="preserve"> — nightly systemd timer (</w:t>
            </w:r>
            <w:r>
              <w:rPr>
                <w:rStyle w:val="SourceText"/>
              </w:rPr>
              <w:t>scripts/install_backup_timer.sh</w:t>
            </w:r>
            <w:r>
              <w:rPr/>
              <w:t xml:space="preserve">) and off-host replication via </w:t>
            </w:r>
            <w:r>
              <w:rPr>
                <w:rStyle w:val="SourceText"/>
              </w:rPr>
              <w:t>BACKUP_REMOTE</w:t>
            </w:r>
            <w:r>
              <w:rPr/>
              <w:t xml:space="preserve">, tested; a failed off-host copy aborts the run rather than silently leaving one on-host copy. </w:t>
            </w:r>
            <w:r>
              <w:rPr>
                <w:rStyle w:val="Strong"/>
              </w:rPr>
              <w:t xml:space="preserve">Operator must set </w:t>
            </w:r>
            <w:r>
              <w:rPr>
                <w:rStyle w:val="SourceText"/>
              </w:rPr>
              <w:t>BACKUP_REMOTE</w:t>
            </w:r>
            <w:r>
              <w:rPr>
                <w:rStyle w:val="Strong"/>
              </w:rPr>
              <w:t xml:space="preserve"> and install the timer on each deployment.</w:t>
            </w:r>
            <w:r>
              <w:rPr/>
              <w:t xml:space="preserve"> </w:t>
            </w:r>
            <w:r>
              <w:rPr>
                <w:rStyle w:val="Emphasis"/>
              </w:rPr>
              <w:t>Not yet installed on the reference host (verified 2026-10-06).</w:t>
            </w:r>
          </w:p>
        </w:tc>
        <w:tc>
          <w:tcPr>
            <w:tcW w:w="754" w:type="dxa"/>
            <w:tcBorders/>
            <w:vAlign w:val="center"/>
          </w:tcPr>
          <w:p>
            <w:pPr>
              <w:pStyle w:val="TableContents"/>
              <w:bidi w:val="0"/>
              <w:spacing w:before="0" w:after="283"/>
              <w:jc w:val="left"/>
              <w:rPr/>
            </w:pPr>
            <w:r>
              <w:rPr/>
              <w:t>8.5.4</w:t>
            </w:r>
          </w:p>
        </w:tc>
        <w:tc>
          <w:tcPr>
            <w:tcW w:w="2324" w:type="dxa"/>
            <w:tcBorders/>
            <w:vAlign w:val="center"/>
          </w:tcPr>
          <w:p>
            <w:pPr>
              <w:pStyle w:val="TableContents"/>
              <w:bidi w:val="0"/>
              <w:spacing w:before="0" w:after="283"/>
              <w:jc w:val="left"/>
              <w:rPr/>
            </w:pPr>
            <w:r>
              <w:rPr/>
              <w:t>—</w:t>
            </w:r>
          </w:p>
        </w:tc>
        <w:tc>
          <w:tcPr>
            <w:tcW w:w="665" w:type="dxa"/>
            <w:tcBorders/>
            <w:vAlign w:val="center"/>
          </w:tcPr>
          <w:p>
            <w:pPr>
              <w:pStyle w:val="TableContents"/>
              <w:bidi w:val="0"/>
              <w:spacing w:before="0" w:after="283"/>
              <w:jc w:val="left"/>
              <w:rPr/>
            </w:pPr>
            <w:r>
              <w:rPr/>
              <w:t>done</w:t>
            </w:r>
          </w:p>
        </w:tc>
      </w:tr>
      <w:tr>
        <w:trPr/>
        <w:tc>
          <w:tcPr>
            <w:tcW w:w="596" w:type="dxa"/>
            <w:tcBorders/>
            <w:vAlign w:val="center"/>
          </w:tcPr>
          <w:p>
            <w:pPr>
              <w:pStyle w:val="TableContents"/>
              <w:bidi w:val="0"/>
              <w:spacing w:before="0" w:after="283"/>
              <w:jc w:val="left"/>
              <w:rPr/>
            </w:pPr>
            <w:r>
              <w:rPr>
                <w:rStyle w:val="Strong"/>
              </w:rPr>
              <w:t>G-06</w:t>
            </w:r>
          </w:p>
        </w:tc>
        <w:tc>
          <w:tcPr>
            <w:tcW w:w="7000" w:type="dxa"/>
            <w:tcBorders/>
            <w:vAlign w:val="center"/>
          </w:tcPr>
          <w:p>
            <w:pPr>
              <w:pStyle w:val="TableContents"/>
              <w:bidi w:val="0"/>
              <w:spacing w:before="0" w:after="283"/>
              <w:jc w:val="left"/>
              <w:rPr/>
            </w:pPr>
            <w:r>
              <w:rPr/>
              <w:t>Auth off by default; WebSocket endpoints outside the auth middleware (</w:t>
            </w:r>
            <w:r>
              <w:rPr>
                <w:rStyle w:val="SourceText"/>
              </w:rPr>
              <w:t>backend/app/main.py:135</w:t>
            </w:r>
            <w:r>
              <w:rPr/>
              <w:t xml:space="preserve">); tenant isolation only enforced when auth is on; CORS </w:t>
            </w:r>
            <w:r>
              <w:rPr>
                <w:rStyle w:val="SourceText"/>
              </w:rPr>
              <w:t>*</w:t>
            </w:r>
          </w:p>
        </w:tc>
        <w:tc>
          <w:tcPr>
            <w:tcW w:w="754" w:type="dxa"/>
            <w:tcBorders/>
            <w:vAlign w:val="center"/>
          </w:tcPr>
          <w:p>
            <w:pPr>
              <w:pStyle w:val="TableContents"/>
              <w:bidi w:val="0"/>
              <w:spacing w:before="0" w:after="283"/>
              <w:jc w:val="left"/>
              <w:rPr/>
            </w:pPr>
            <w:r>
              <w:rPr/>
              <w:t>8.5.3</w:t>
            </w:r>
          </w:p>
        </w:tc>
        <w:tc>
          <w:tcPr>
            <w:tcW w:w="2324" w:type="dxa"/>
            <w:tcBorders/>
            <w:vAlign w:val="center"/>
          </w:tcPr>
          <w:p>
            <w:pPr>
              <w:pStyle w:val="TableContents"/>
              <w:bidi w:val="0"/>
              <w:spacing w:before="0" w:after="283"/>
              <w:jc w:val="left"/>
              <w:rPr/>
            </w:pPr>
            <w:r>
              <w:rPr/>
              <w:t>Cross-tenant exposure in any deployment not perfectly network-isolated</w:t>
            </w:r>
          </w:p>
        </w:tc>
        <w:tc>
          <w:tcPr>
            <w:tcW w:w="665" w:type="dxa"/>
            <w:tcBorders/>
            <w:vAlign w:val="center"/>
          </w:tcPr>
          <w:p>
            <w:pPr>
              <w:pStyle w:val="TableContents"/>
              <w:bidi w:val="0"/>
              <w:spacing w:before="0" w:after="283"/>
              <w:jc w:val="left"/>
              <w:rPr/>
            </w:pPr>
            <w:r>
              <w:rPr/>
              <w:t>2–3 days</w:t>
            </w:r>
          </w:p>
        </w:tc>
      </w:tr>
    </w:tbl>
    <w:p>
      <w:pPr>
        <w:pStyle w:val="Heading3"/>
        <w:bidi w:val="0"/>
        <w:jc w:val="left"/>
        <w:rPr/>
      </w:pPr>
      <w:r>
        <w:rPr/>
        <w:t>Priority 2 — close before a certification attempt</w:t>
      </w:r>
    </w:p>
    <w:tbl>
      <w:tblPr>
        <w:tblW w:w="11339" w:type="dxa"/>
        <w:jc w:val="left"/>
        <w:tblInd w:w="0" w:type="dxa"/>
        <w:tblLayout w:type="fixed"/>
        <w:tblCellMar>
          <w:top w:w="28" w:type="dxa"/>
          <w:left w:w="28" w:type="dxa"/>
          <w:bottom w:w="28" w:type="dxa"/>
          <w:right w:w="28" w:type="dxa"/>
        </w:tblCellMar>
      </w:tblPr>
      <w:tblGrid>
        <w:gridCol w:w="442"/>
        <w:gridCol w:w="4876"/>
        <w:gridCol w:w="830"/>
        <w:gridCol w:w="3811"/>
        <w:gridCol w:w="1380"/>
      </w:tblGrid>
      <w:tr>
        <w:trPr>
          <w:tblHeader w:val="true"/>
        </w:trPr>
        <w:tc>
          <w:tcPr>
            <w:tcW w:w="442" w:type="dxa"/>
            <w:tcBorders/>
            <w:vAlign w:val="center"/>
          </w:tcPr>
          <w:p>
            <w:pPr>
              <w:pStyle w:val="TableHeading"/>
              <w:suppressLineNumbers/>
              <w:shd w:fill="1F3A5F" w:val="clear"/>
              <w:bidi w:val="0"/>
              <w:spacing w:before="0" w:after="283"/>
              <w:jc w:val="center"/>
              <w:rPr/>
            </w:pPr>
            <w:r>
              <w:rPr/>
              <w:t>Ref</w:t>
            </w:r>
          </w:p>
        </w:tc>
        <w:tc>
          <w:tcPr>
            <w:tcW w:w="4876" w:type="dxa"/>
            <w:tcBorders/>
            <w:vAlign w:val="center"/>
          </w:tcPr>
          <w:p>
            <w:pPr>
              <w:pStyle w:val="TableHeading"/>
              <w:suppressLineNumbers/>
              <w:shd w:fill="1F3A5F" w:val="clear"/>
              <w:bidi w:val="0"/>
              <w:spacing w:before="0" w:after="283"/>
              <w:jc w:val="center"/>
              <w:rPr/>
            </w:pPr>
            <w:r>
              <w:rPr/>
              <w:t>Gap</w:t>
            </w:r>
          </w:p>
        </w:tc>
        <w:tc>
          <w:tcPr>
            <w:tcW w:w="830" w:type="dxa"/>
            <w:tcBorders/>
            <w:vAlign w:val="center"/>
          </w:tcPr>
          <w:p>
            <w:pPr>
              <w:pStyle w:val="TableHeading"/>
              <w:suppressLineNumbers/>
              <w:shd w:fill="1F3A5F" w:val="clear"/>
              <w:bidi w:val="0"/>
              <w:spacing w:before="0" w:after="283"/>
              <w:jc w:val="center"/>
              <w:rPr/>
            </w:pPr>
            <w:r>
              <w:rPr/>
              <w:t>Clause</w:t>
            </w:r>
          </w:p>
        </w:tc>
        <w:tc>
          <w:tcPr>
            <w:tcW w:w="3811" w:type="dxa"/>
            <w:tcBorders/>
            <w:vAlign w:val="center"/>
          </w:tcPr>
          <w:p>
            <w:pPr>
              <w:pStyle w:val="TableHeading"/>
              <w:suppressLineNumbers/>
              <w:shd w:fill="1F3A5F" w:val="clear"/>
              <w:bidi w:val="0"/>
              <w:spacing w:before="0" w:after="283"/>
              <w:jc w:val="center"/>
              <w:rPr/>
            </w:pPr>
            <w:r>
              <w:rPr/>
              <w:t>Note</w:t>
            </w:r>
          </w:p>
        </w:tc>
        <w:tc>
          <w:tcPr>
            <w:tcW w:w="1380" w:type="dxa"/>
            <w:tcBorders/>
            <w:vAlign w:val="center"/>
          </w:tcPr>
          <w:p>
            <w:pPr>
              <w:pStyle w:val="TableHeading"/>
              <w:suppressLineNumbers/>
              <w:shd w:fill="1F3A5F" w:val="clear"/>
              <w:bidi w:val="0"/>
              <w:spacing w:before="0" w:after="283"/>
              <w:jc w:val="center"/>
              <w:rPr/>
            </w:pPr>
            <w:r>
              <w:rPr/>
              <w:t>Effort</w:t>
            </w:r>
          </w:p>
        </w:tc>
      </w:tr>
      <w:tr>
        <w:trPr/>
        <w:tc>
          <w:tcPr>
            <w:tcW w:w="442" w:type="dxa"/>
            <w:tcBorders/>
            <w:vAlign w:val="center"/>
          </w:tcPr>
          <w:p>
            <w:pPr>
              <w:pStyle w:val="TableContents"/>
              <w:bidi w:val="0"/>
              <w:spacing w:before="0" w:after="283"/>
              <w:jc w:val="left"/>
              <w:rPr/>
            </w:pPr>
            <w:r>
              <w:rPr>
                <w:rStyle w:val="Strong"/>
              </w:rPr>
              <w:t>G-07</w:t>
            </w:r>
          </w:p>
        </w:tc>
        <w:tc>
          <w:tcPr>
            <w:tcW w:w="4876" w:type="dxa"/>
            <w:tcBorders/>
            <w:vAlign w:val="center"/>
          </w:tcPr>
          <w:p>
            <w:pPr>
              <w:pStyle w:val="TableContents"/>
              <w:bidi w:val="0"/>
              <w:spacing w:before="0" w:after="283"/>
              <w:jc w:val="left"/>
              <w:rPr/>
            </w:pPr>
            <w:r>
              <w:rPr/>
              <w:t>Policy unapproved and uncommunicated</w:t>
            </w:r>
          </w:p>
        </w:tc>
        <w:tc>
          <w:tcPr>
            <w:tcW w:w="830" w:type="dxa"/>
            <w:tcBorders/>
            <w:vAlign w:val="center"/>
          </w:tcPr>
          <w:p>
            <w:pPr>
              <w:pStyle w:val="TableContents"/>
              <w:bidi w:val="0"/>
              <w:spacing w:before="0" w:after="283"/>
              <w:jc w:val="left"/>
              <w:rPr/>
            </w:pPr>
            <w:r>
              <w:rPr/>
              <w:t>5.1, 5.2, 7.3</w:t>
            </w:r>
          </w:p>
        </w:tc>
        <w:tc>
          <w:tcPr>
            <w:tcW w:w="3811" w:type="dxa"/>
            <w:tcBorders/>
            <w:vAlign w:val="center"/>
          </w:tcPr>
          <w:p>
            <w:pPr>
              <w:pStyle w:val="TableContents"/>
              <w:bidi w:val="0"/>
              <w:spacing w:before="0" w:after="283"/>
              <w:jc w:val="left"/>
              <w:rPr/>
            </w:pPr>
            <w:r>
              <w:rPr/>
              <w:t>One signature and one communication record</w:t>
            </w:r>
          </w:p>
        </w:tc>
        <w:tc>
          <w:tcPr>
            <w:tcW w:w="1380" w:type="dxa"/>
            <w:tcBorders/>
            <w:vAlign w:val="center"/>
          </w:tcPr>
          <w:p>
            <w:pPr>
              <w:pStyle w:val="TableContents"/>
              <w:bidi w:val="0"/>
              <w:spacing w:before="0" w:after="283"/>
              <w:jc w:val="left"/>
              <w:rPr/>
            </w:pPr>
            <w:r>
              <w:rPr/>
              <w:t>1 hour</w:t>
            </w:r>
          </w:p>
        </w:tc>
      </w:tr>
      <w:tr>
        <w:trPr/>
        <w:tc>
          <w:tcPr>
            <w:tcW w:w="442" w:type="dxa"/>
            <w:tcBorders/>
            <w:vAlign w:val="center"/>
          </w:tcPr>
          <w:p>
            <w:pPr>
              <w:pStyle w:val="TableContents"/>
              <w:bidi w:val="0"/>
              <w:spacing w:before="0" w:after="283"/>
              <w:jc w:val="left"/>
              <w:rPr/>
            </w:pPr>
            <w:r>
              <w:rPr>
                <w:rStyle w:val="Strong"/>
              </w:rPr>
              <w:t>G-21</w:t>
            </w:r>
          </w:p>
        </w:tc>
        <w:tc>
          <w:tcPr>
            <w:tcW w:w="4876" w:type="dxa"/>
            <w:tcBorders/>
            <w:vAlign w:val="center"/>
          </w:tcPr>
          <w:p>
            <w:pPr>
              <w:pStyle w:val="TableContents"/>
              <w:bidi w:val="0"/>
              <w:spacing w:before="0" w:after="283"/>
              <w:jc w:val="left"/>
              <w:rPr/>
            </w:pPr>
            <w:r>
              <w:rPr/>
              <w:t>No management review</w:t>
            </w:r>
          </w:p>
        </w:tc>
        <w:tc>
          <w:tcPr>
            <w:tcW w:w="830" w:type="dxa"/>
            <w:tcBorders/>
            <w:vAlign w:val="center"/>
          </w:tcPr>
          <w:p>
            <w:pPr>
              <w:pStyle w:val="TableContents"/>
              <w:bidi w:val="0"/>
              <w:spacing w:before="0" w:after="283"/>
              <w:jc w:val="left"/>
              <w:rPr/>
            </w:pPr>
            <w:r>
              <w:rPr/>
              <w:t>9.3</w:t>
            </w:r>
          </w:p>
        </w:tc>
        <w:tc>
          <w:tcPr>
            <w:tcW w:w="3811" w:type="dxa"/>
            <w:tcBorders/>
            <w:vAlign w:val="center"/>
          </w:tcPr>
          <w:p>
            <w:pPr>
              <w:pStyle w:val="TableContents"/>
              <w:bidi w:val="0"/>
              <w:spacing w:before="0" w:after="283"/>
              <w:jc w:val="left"/>
              <w:rPr/>
            </w:pPr>
            <w:r>
              <w:rPr/>
              <w:t>Major nonconformity at any audit</w:t>
            </w:r>
          </w:p>
        </w:tc>
        <w:tc>
          <w:tcPr>
            <w:tcW w:w="1380" w:type="dxa"/>
            <w:tcBorders/>
            <w:vAlign w:val="center"/>
          </w:tcPr>
          <w:p>
            <w:pPr>
              <w:pStyle w:val="TableContents"/>
              <w:bidi w:val="0"/>
              <w:spacing w:before="0" w:after="283"/>
              <w:jc w:val="left"/>
              <w:rPr/>
            </w:pPr>
            <w:r>
              <w:rPr/>
              <w:t>2 hours + cadence</w:t>
            </w:r>
          </w:p>
        </w:tc>
      </w:tr>
      <w:tr>
        <w:trPr/>
        <w:tc>
          <w:tcPr>
            <w:tcW w:w="442" w:type="dxa"/>
            <w:tcBorders/>
            <w:vAlign w:val="center"/>
          </w:tcPr>
          <w:p>
            <w:pPr>
              <w:pStyle w:val="TableContents"/>
              <w:bidi w:val="0"/>
              <w:spacing w:before="0" w:after="283"/>
              <w:jc w:val="left"/>
              <w:rPr/>
            </w:pPr>
            <w:r>
              <w:rPr>
                <w:rStyle w:val="Strong"/>
              </w:rPr>
              <w:t>G-20</w:t>
            </w:r>
          </w:p>
        </w:tc>
        <w:tc>
          <w:tcPr>
            <w:tcW w:w="4876" w:type="dxa"/>
            <w:tcBorders/>
            <w:vAlign w:val="center"/>
          </w:tcPr>
          <w:p>
            <w:pPr>
              <w:pStyle w:val="TableContents"/>
              <w:bidi w:val="0"/>
              <w:spacing w:before="0" w:after="283"/>
              <w:jc w:val="left"/>
              <w:rPr/>
            </w:pPr>
            <w:r>
              <w:rPr/>
              <w:t>No internal audit; impartiality unachievable internally</w:t>
            </w:r>
          </w:p>
        </w:tc>
        <w:tc>
          <w:tcPr>
            <w:tcW w:w="830" w:type="dxa"/>
            <w:tcBorders/>
            <w:vAlign w:val="center"/>
          </w:tcPr>
          <w:p>
            <w:pPr>
              <w:pStyle w:val="TableContents"/>
              <w:bidi w:val="0"/>
              <w:spacing w:before="0" w:after="283"/>
              <w:jc w:val="left"/>
              <w:rPr/>
            </w:pPr>
            <w:r>
              <w:rPr/>
              <w:t>9.2</w:t>
            </w:r>
          </w:p>
        </w:tc>
        <w:tc>
          <w:tcPr>
            <w:tcW w:w="3811" w:type="dxa"/>
            <w:tcBorders/>
            <w:vAlign w:val="center"/>
          </w:tcPr>
          <w:p>
            <w:pPr>
              <w:pStyle w:val="TableContents"/>
              <w:bidi w:val="0"/>
              <w:spacing w:before="0" w:after="283"/>
              <w:jc w:val="left"/>
              <w:rPr/>
            </w:pPr>
            <w:r>
              <w:rPr/>
              <w:t>Major nonconformity. Needs an external or second auditor.</w:t>
            </w:r>
          </w:p>
        </w:tc>
        <w:tc>
          <w:tcPr>
            <w:tcW w:w="1380" w:type="dxa"/>
            <w:tcBorders/>
            <w:vAlign w:val="center"/>
          </w:tcPr>
          <w:p>
            <w:pPr>
              <w:pStyle w:val="TableContents"/>
              <w:bidi w:val="0"/>
              <w:spacing w:before="0" w:after="283"/>
              <w:jc w:val="left"/>
              <w:rPr/>
            </w:pPr>
            <w:r>
              <w:rPr/>
              <w:t>1–2 days/year, external</w:t>
            </w:r>
          </w:p>
        </w:tc>
      </w:tr>
      <w:tr>
        <w:trPr/>
        <w:tc>
          <w:tcPr>
            <w:tcW w:w="442" w:type="dxa"/>
            <w:tcBorders/>
            <w:vAlign w:val="center"/>
          </w:tcPr>
          <w:p>
            <w:pPr>
              <w:pStyle w:val="TableContents"/>
              <w:bidi w:val="0"/>
              <w:spacing w:before="0" w:after="283"/>
              <w:jc w:val="left"/>
              <w:rPr/>
            </w:pPr>
            <w:r>
              <w:rPr>
                <w:rStyle w:val="Strong"/>
              </w:rPr>
              <w:t>G-01</w:t>
            </w:r>
          </w:p>
        </w:tc>
        <w:tc>
          <w:tcPr>
            <w:tcW w:w="4876" w:type="dxa"/>
            <w:tcBorders/>
            <w:vAlign w:val="center"/>
          </w:tcPr>
          <w:p>
            <w:pPr>
              <w:pStyle w:val="TableContents"/>
              <w:bidi w:val="0"/>
              <w:spacing w:before="0" w:after="283"/>
              <w:jc w:val="left"/>
              <w:rPr/>
            </w:pPr>
            <w:r>
              <w:rPr/>
              <w:t>No release identification or traceability</w:t>
            </w:r>
          </w:p>
        </w:tc>
        <w:tc>
          <w:tcPr>
            <w:tcW w:w="830" w:type="dxa"/>
            <w:tcBorders/>
            <w:vAlign w:val="center"/>
          </w:tcPr>
          <w:p>
            <w:pPr>
              <w:pStyle w:val="TableContents"/>
              <w:bidi w:val="0"/>
              <w:spacing w:before="0" w:after="283"/>
              <w:jc w:val="left"/>
              <w:rPr/>
            </w:pPr>
            <w:r>
              <w:rPr/>
              <w:t>8.5.2, 8.6</w:t>
            </w:r>
          </w:p>
        </w:tc>
        <w:tc>
          <w:tcPr>
            <w:tcW w:w="3811" w:type="dxa"/>
            <w:tcBorders/>
            <w:vAlign w:val="center"/>
          </w:tcPr>
          <w:p>
            <w:pPr>
              <w:pStyle w:val="TableContents"/>
              <w:bidi w:val="0"/>
              <w:spacing w:before="0" w:after="283"/>
              <w:jc w:val="left"/>
              <w:rPr/>
            </w:pPr>
            <w:r>
              <w:rPr/>
              <w:t>Cannot tell a customer what they are running</w:t>
            </w:r>
          </w:p>
        </w:tc>
        <w:tc>
          <w:tcPr>
            <w:tcW w:w="1380" w:type="dxa"/>
            <w:tcBorders/>
            <w:vAlign w:val="center"/>
          </w:tcPr>
          <w:p>
            <w:pPr>
              <w:pStyle w:val="TableContents"/>
              <w:bidi w:val="0"/>
              <w:spacing w:before="0" w:after="283"/>
              <w:jc w:val="left"/>
              <w:rPr/>
            </w:pPr>
            <w:r>
              <w:rPr/>
              <w:t>1 day</w:t>
            </w:r>
          </w:p>
        </w:tc>
      </w:tr>
      <w:tr>
        <w:trPr/>
        <w:tc>
          <w:tcPr>
            <w:tcW w:w="442" w:type="dxa"/>
            <w:tcBorders/>
            <w:vAlign w:val="center"/>
          </w:tcPr>
          <w:p>
            <w:pPr>
              <w:pStyle w:val="TableContents"/>
              <w:bidi w:val="0"/>
              <w:spacing w:before="0" w:after="283"/>
              <w:jc w:val="left"/>
              <w:rPr/>
            </w:pPr>
            <w:r>
              <w:rPr>
                <w:rStyle w:val="Strong"/>
              </w:rPr>
              <w:t>G-02</w:t>
            </w:r>
          </w:p>
        </w:tc>
        <w:tc>
          <w:tcPr>
            <w:tcW w:w="4876" w:type="dxa"/>
            <w:tcBorders/>
            <w:vAlign w:val="center"/>
          </w:tcPr>
          <w:p>
            <w:pPr>
              <w:pStyle w:val="TableContents"/>
              <w:bidi w:val="0"/>
              <w:spacing w:before="0" w:after="283"/>
              <w:jc w:val="left"/>
              <w:rPr/>
            </w:pPr>
            <w:r>
              <w:rPr/>
              <w:t>No release records; verification not enforced or retained</w:t>
            </w:r>
          </w:p>
        </w:tc>
        <w:tc>
          <w:tcPr>
            <w:tcW w:w="830" w:type="dxa"/>
            <w:tcBorders/>
            <w:vAlign w:val="center"/>
          </w:tcPr>
          <w:p>
            <w:pPr>
              <w:pStyle w:val="TableContents"/>
              <w:bidi w:val="0"/>
              <w:spacing w:before="0" w:after="283"/>
              <w:jc w:val="left"/>
              <w:rPr/>
            </w:pPr>
            <w:r>
              <w:rPr/>
              <w:t>8.6</w:t>
            </w:r>
          </w:p>
        </w:tc>
        <w:tc>
          <w:tcPr>
            <w:tcW w:w="3811" w:type="dxa"/>
            <w:tcBorders/>
            <w:vAlign w:val="center"/>
          </w:tcPr>
          <w:p>
            <w:pPr>
              <w:pStyle w:val="TableContents"/>
              <w:bidi w:val="0"/>
              <w:spacing w:before="0" w:after="283"/>
              <w:jc w:val="left"/>
              <w:rPr/>
            </w:pPr>
            <w:r>
              <w:rPr/>
              <w:t>Cannot evidence that anything was verified before release</w:t>
            </w:r>
          </w:p>
        </w:tc>
        <w:tc>
          <w:tcPr>
            <w:tcW w:w="1380" w:type="dxa"/>
            <w:tcBorders/>
            <w:vAlign w:val="center"/>
          </w:tcPr>
          <w:p>
            <w:pPr>
              <w:pStyle w:val="TableContents"/>
              <w:bidi w:val="0"/>
              <w:spacing w:before="0" w:after="283"/>
              <w:jc w:val="left"/>
              <w:rPr/>
            </w:pPr>
            <w:r>
              <w:rPr/>
              <w:t>1 day + CI</w:t>
            </w:r>
          </w:p>
        </w:tc>
      </w:tr>
      <w:tr>
        <w:trPr/>
        <w:tc>
          <w:tcPr>
            <w:tcW w:w="442" w:type="dxa"/>
            <w:tcBorders/>
            <w:vAlign w:val="center"/>
          </w:tcPr>
          <w:p>
            <w:pPr>
              <w:pStyle w:val="TableContents"/>
              <w:bidi w:val="0"/>
              <w:spacing w:before="0" w:after="283"/>
              <w:jc w:val="left"/>
              <w:rPr/>
            </w:pPr>
            <w:r>
              <w:rPr>
                <w:rStyle w:val="Strong"/>
              </w:rPr>
              <w:t>G-05</w:t>
            </w:r>
          </w:p>
        </w:tc>
        <w:tc>
          <w:tcPr>
            <w:tcW w:w="4876" w:type="dxa"/>
            <w:tcBorders/>
            <w:vAlign w:val="center"/>
          </w:tcPr>
          <w:p>
            <w:pPr>
              <w:pStyle w:val="TableContents"/>
              <w:bidi w:val="0"/>
              <w:spacing w:before="0" w:after="283"/>
              <w:jc w:val="left"/>
              <w:rPr/>
            </w:pPr>
            <w:r>
              <w:rPr/>
              <w:t>No licence inventory, no LICENSE/NOTICE, no SBOM; a gated model is baked into shipped images</w:t>
            </w:r>
          </w:p>
        </w:tc>
        <w:tc>
          <w:tcPr>
            <w:tcW w:w="830" w:type="dxa"/>
            <w:tcBorders/>
            <w:vAlign w:val="center"/>
          </w:tcPr>
          <w:p>
            <w:pPr>
              <w:pStyle w:val="TableContents"/>
              <w:bidi w:val="0"/>
              <w:spacing w:before="0" w:after="283"/>
              <w:jc w:val="left"/>
              <w:rPr/>
            </w:pPr>
            <w:r>
              <w:rPr/>
              <w:t>8.4.2</w:t>
            </w:r>
          </w:p>
        </w:tc>
        <w:tc>
          <w:tcPr>
            <w:tcW w:w="3811" w:type="dxa"/>
            <w:tcBorders/>
            <w:vAlign w:val="center"/>
          </w:tcPr>
          <w:p>
            <w:pPr>
              <w:pStyle w:val="TableContents"/>
              <w:bidi w:val="0"/>
              <w:spacing w:before="0" w:after="283"/>
              <w:jc w:val="left"/>
              <w:rPr/>
            </w:pPr>
            <w:r>
              <w:rPr/>
              <w:t>Legal exposure; regulated buyers will ask</w:t>
            </w:r>
          </w:p>
        </w:tc>
        <w:tc>
          <w:tcPr>
            <w:tcW w:w="1380" w:type="dxa"/>
            <w:tcBorders/>
            <w:vAlign w:val="center"/>
          </w:tcPr>
          <w:p>
            <w:pPr>
              <w:pStyle w:val="TableContents"/>
              <w:bidi w:val="0"/>
              <w:spacing w:before="0" w:after="283"/>
              <w:jc w:val="left"/>
              <w:rPr/>
            </w:pPr>
            <w:r>
              <w:rPr/>
              <w:t>2–3 days</w:t>
            </w:r>
          </w:p>
        </w:tc>
      </w:tr>
      <w:tr>
        <w:trPr/>
        <w:tc>
          <w:tcPr>
            <w:tcW w:w="442" w:type="dxa"/>
            <w:tcBorders/>
            <w:vAlign w:val="center"/>
          </w:tcPr>
          <w:p>
            <w:pPr>
              <w:pStyle w:val="TableContents"/>
              <w:bidi w:val="0"/>
              <w:spacing w:before="0" w:after="283"/>
              <w:jc w:val="left"/>
              <w:rPr/>
            </w:pPr>
            <w:r>
              <w:rPr>
                <w:rStyle w:val="Strong"/>
              </w:rPr>
              <w:t>G-04</w:t>
            </w:r>
          </w:p>
        </w:tc>
        <w:tc>
          <w:tcPr>
            <w:tcW w:w="4876" w:type="dxa"/>
            <w:tcBorders/>
            <w:vAlign w:val="center"/>
          </w:tcPr>
          <w:p>
            <w:pPr>
              <w:pStyle w:val="TableContents"/>
              <w:bidi w:val="0"/>
              <w:spacing w:before="0" w:after="283"/>
              <w:jc w:val="left"/>
              <w:rPr/>
            </w:pPr>
            <w:r>
              <w:rPr/>
              <w:t>No data-retention policy; unbounded auto-store growth (97.6% of the corpus was auto-saved transcript at one measurement)</w:t>
            </w:r>
          </w:p>
        </w:tc>
        <w:tc>
          <w:tcPr>
            <w:tcW w:w="830" w:type="dxa"/>
            <w:tcBorders/>
            <w:vAlign w:val="center"/>
          </w:tcPr>
          <w:p>
            <w:pPr>
              <w:pStyle w:val="TableContents"/>
              <w:bidi w:val="0"/>
              <w:spacing w:before="0" w:after="283"/>
              <w:jc w:val="left"/>
              <w:rPr/>
            </w:pPr>
            <w:r>
              <w:rPr/>
              <w:t>8.5.3</w:t>
            </w:r>
          </w:p>
        </w:tc>
        <w:tc>
          <w:tcPr>
            <w:tcW w:w="3811" w:type="dxa"/>
            <w:tcBorders/>
            <w:vAlign w:val="center"/>
          </w:tcPr>
          <w:p>
            <w:pPr>
              <w:pStyle w:val="TableContents"/>
              <w:bidi w:val="0"/>
              <w:spacing w:before="0" w:after="283"/>
              <w:jc w:val="left"/>
              <w:rPr/>
            </w:pPr>
            <w:r>
              <w:rPr/>
              <w:t>Storage cost, retrieval quality degradation, and no answer to "how long do you keep our data?"</w:t>
            </w:r>
          </w:p>
        </w:tc>
        <w:tc>
          <w:tcPr>
            <w:tcW w:w="1380" w:type="dxa"/>
            <w:tcBorders/>
            <w:vAlign w:val="center"/>
          </w:tcPr>
          <w:p>
            <w:pPr>
              <w:pStyle w:val="TableContents"/>
              <w:bidi w:val="0"/>
              <w:spacing w:before="0" w:after="283"/>
              <w:jc w:val="left"/>
              <w:rPr/>
            </w:pPr>
            <w:r>
              <w:rPr/>
              <w:t>1–2 days</w:t>
            </w:r>
          </w:p>
        </w:tc>
      </w:tr>
    </w:tbl>
    <w:p>
      <w:pPr>
        <w:pStyle w:val="Heading3"/>
        <w:bidi w:val="0"/>
        <w:jc w:val="left"/>
        <w:rPr/>
      </w:pPr>
      <w:r>
        <w:rPr/>
        <w:t>Priority 3 — close during the first QMS cycle</w:t>
      </w:r>
    </w:p>
    <w:tbl>
      <w:tblPr>
        <w:tblW w:w="11339" w:type="dxa"/>
        <w:jc w:val="left"/>
        <w:tblInd w:w="0" w:type="dxa"/>
        <w:tblLayout w:type="fixed"/>
        <w:tblCellMar>
          <w:top w:w="28" w:type="dxa"/>
          <w:left w:w="28" w:type="dxa"/>
          <w:bottom w:w="28" w:type="dxa"/>
          <w:right w:w="28" w:type="dxa"/>
        </w:tblCellMar>
      </w:tblPr>
      <w:tblGrid>
        <w:gridCol w:w="495"/>
        <w:gridCol w:w="9809"/>
        <w:gridCol w:w="1035"/>
      </w:tblGrid>
      <w:tr>
        <w:trPr>
          <w:tblHeader w:val="true"/>
        </w:trPr>
        <w:tc>
          <w:tcPr>
            <w:tcW w:w="495" w:type="dxa"/>
            <w:tcBorders/>
            <w:vAlign w:val="center"/>
          </w:tcPr>
          <w:p>
            <w:pPr>
              <w:pStyle w:val="TableHeading"/>
              <w:suppressLineNumbers/>
              <w:shd w:fill="1F3A5F" w:val="clear"/>
              <w:bidi w:val="0"/>
              <w:spacing w:before="0" w:after="283"/>
              <w:jc w:val="center"/>
              <w:rPr/>
            </w:pPr>
            <w:r>
              <w:rPr/>
              <w:t>Ref</w:t>
            </w:r>
          </w:p>
        </w:tc>
        <w:tc>
          <w:tcPr>
            <w:tcW w:w="9809" w:type="dxa"/>
            <w:tcBorders/>
            <w:vAlign w:val="center"/>
          </w:tcPr>
          <w:p>
            <w:pPr>
              <w:pStyle w:val="TableHeading"/>
              <w:suppressLineNumbers/>
              <w:shd w:fill="1F3A5F" w:val="clear"/>
              <w:bidi w:val="0"/>
              <w:spacing w:before="0" w:after="283"/>
              <w:jc w:val="center"/>
              <w:rPr/>
            </w:pPr>
            <w:r>
              <w:rPr/>
              <w:t>Gap</w:t>
            </w:r>
          </w:p>
        </w:tc>
        <w:tc>
          <w:tcPr>
            <w:tcW w:w="1035" w:type="dxa"/>
            <w:tcBorders/>
            <w:vAlign w:val="center"/>
          </w:tcPr>
          <w:p>
            <w:pPr>
              <w:pStyle w:val="TableHeading"/>
              <w:suppressLineNumbers/>
              <w:shd w:fill="1F3A5F" w:val="clear"/>
              <w:bidi w:val="0"/>
              <w:spacing w:before="0" w:after="283"/>
              <w:jc w:val="center"/>
              <w:rPr/>
            </w:pPr>
            <w:r>
              <w:rPr/>
              <w:t>Clause</w:t>
            </w:r>
          </w:p>
        </w:tc>
      </w:tr>
      <w:tr>
        <w:trPr/>
        <w:tc>
          <w:tcPr>
            <w:tcW w:w="495" w:type="dxa"/>
            <w:tcBorders/>
            <w:vAlign w:val="center"/>
          </w:tcPr>
          <w:p>
            <w:pPr>
              <w:pStyle w:val="TableContents"/>
              <w:bidi w:val="0"/>
              <w:spacing w:before="0" w:after="283"/>
              <w:jc w:val="left"/>
              <w:rPr/>
            </w:pPr>
            <w:r>
              <w:rPr/>
              <w:t>G-09</w:t>
            </w:r>
          </w:p>
        </w:tc>
        <w:tc>
          <w:tcPr>
            <w:tcW w:w="9809" w:type="dxa"/>
            <w:tcBorders/>
            <w:vAlign w:val="center"/>
          </w:tcPr>
          <w:p>
            <w:pPr>
              <w:pStyle w:val="TableContents"/>
              <w:bidi w:val="0"/>
              <w:spacing w:before="0" w:after="283"/>
              <w:jc w:val="left"/>
              <w:rPr/>
            </w:pPr>
            <w:r>
              <w:rPr/>
              <w:t>Risk ratings proposed but not confirmed; no treatment owners or dates</w:t>
            </w:r>
          </w:p>
        </w:tc>
        <w:tc>
          <w:tcPr>
            <w:tcW w:w="1035" w:type="dxa"/>
            <w:tcBorders/>
            <w:vAlign w:val="center"/>
          </w:tcPr>
          <w:p>
            <w:pPr>
              <w:pStyle w:val="TableContents"/>
              <w:bidi w:val="0"/>
              <w:spacing w:before="0" w:after="283"/>
              <w:jc w:val="left"/>
              <w:rPr/>
            </w:pPr>
            <w:r>
              <w:rPr/>
              <w:t>6.1</w:t>
            </w:r>
          </w:p>
        </w:tc>
      </w:tr>
      <w:tr>
        <w:trPr/>
        <w:tc>
          <w:tcPr>
            <w:tcW w:w="495" w:type="dxa"/>
            <w:tcBorders/>
            <w:vAlign w:val="center"/>
          </w:tcPr>
          <w:p>
            <w:pPr>
              <w:pStyle w:val="TableContents"/>
              <w:bidi w:val="0"/>
              <w:spacing w:before="0" w:after="283"/>
              <w:jc w:val="left"/>
              <w:rPr/>
            </w:pPr>
            <w:r>
              <w:rPr/>
              <w:t>G-10</w:t>
            </w:r>
          </w:p>
        </w:tc>
        <w:tc>
          <w:tcPr>
            <w:tcW w:w="9809" w:type="dxa"/>
            <w:tcBorders/>
            <w:vAlign w:val="center"/>
          </w:tcPr>
          <w:p>
            <w:pPr>
              <w:pStyle w:val="TableContents"/>
              <w:bidi w:val="0"/>
              <w:spacing w:before="0" w:after="283"/>
              <w:jc w:val="left"/>
              <w:rPr/>
            </w:pPr>
            <w:r>
              <w:rPr/>
              <w:t>Objectives lack current baselines — re-measure the evaluation against HEAD</w:t>
            </w:r>
          </w:p>
        </w:tc>
        <w:tc>
          <w:tcPr>
            <w:tcW w:w="1035" w:type="dxa"/>
            <w:tcBorders/>
            <w:vAlign w:val="center"/>
          </w:tcPr>
          <w:p>
            <w:pPr>
              <w:pStyle w:val="TableContents"/>
              <w:bidi w:val="0"/>
              <w:spacing w:before="0" w:after="283"/>
              <w:jc w:val="left"/>
              <w:rPr/>
            </w:pPr>
            <w:r>
              <w:rPr/>
              <w:t>6.2, 9.1.1</w:t>
            </w:r>
          </w:p>
        </w:tc>
      </w:tr>
      <w:tr>
        <w:trPr/>
        <w:tc>
          <w:tcPr>
            <w:tcW w:w="495" w:type="dxa"/>
            <w:tcBorders/>
            <w:vAlign w:val="center"/>
          </w:tcPr>
          <w:p>
            <w:pPr>
              <w:pStyle w:val="TableContents"/>
              <w:bidi w:val="0"/>
              <w:spacing w:before="0" w:after="283"/>
              <w:jc w:val="left"/>
              <w:rPr/>
            </w:pPr>
            <w:r>
              <w:rPr/>
              <w:t>G-12</w:t>
            </w:r>
          </w:p>
        </w:tc>
        <w:tc>
          <w:tcPr>
            <w:tcW w:w="9809" w:type="dxa"/>
            <w:tcBorders/>
            <w:vAlign w:val="center"/>
          </w:tcPr>
          <w:p>
            <w:pPr>
              <w:pStyle w:val="TableContents"/>
              <w:bidi w:val="0"/>
              <w:spacing w:before="0" w:after="283"/>
              <w:jc w:val="left"/>
              <w:rPr/>
            </w:pPr>
            <w:r>
              <w:rPr/>
              <w:t>Measurement not scheduled and no trend data yet. Retention of results is now in place.</w:t>
            </w:r>
          </w:p>
        </w:tc>
        <w:tc>
          <w:tcPr>
            <w:tcW w:w="1035" w:type="dxa"/>
            <w:tcBorders/>
            <w:vAlign w:val="center"/>
          </w:tcPr>
          <w:p>
            <w:pPr>
              <w:pStyle w:val="TableContents"/>
              <w:bidi w:val="0"/>
              <w:spacing w:before="0" w:after="283"/>
              <w:jc w:val="left"/>
              <w:rPr/>
            </w:pPr>
            <w:r>
              <w:rPr/>
              <w:t>9.1.1, 9.1.3</w:t>
            </w:r>
          </w:p>
        </w:tc>
      </w:tr>
      <w:tr>
        <w:trPr/>
        <w:tc>
          <w:tcPr>
            <w:tcW w:w="495" w:type="dxa"/>
            <w:tcBorders/>
            <w:vAlign w:val="center"/>
          </w:tcPr>
          <w:p>
            <w:pPr>
              <w:pStyle w:val="TableContents"/>
              <w:bidi w:val="0"/>
              <w:spacing w:before="0" w:after="283"/>
              <w:jc w:val="left"/>
              <w:rPr/>
            </w:pPr>
            <w:r>
              <w:rPr/>
              <w:t>G-15</w:t>
            </w:r>
          </w:p>
        </w:tc>
        <w:tc>
          <w:tcPr>
            <w:tcW w:w="9809" w:type="dxa"/>
            <w:tcBorders/>
            <w:vAlign w:val="center"/>
          </w:tcPr>
          <w:p>
            <w:pPr>
              <w:pStyle w:val="TableContents"/>
              <w:bidi w:val="0"/>
              <w:spacing w:before="0" w:after="283"/>
              <w:jc w:val="left"/>
              <w:rPr/>
            </w:pPr>
            <w:r>
              <w:rPr/>
              <w:t>No customer communication, requirements-review or satisfaction mechanism</w:t>
            </w:r>
          </w:p>
        </w:tc>
        <w:tc>
          <w:tcPr>
            <w:tcW w:w="1035" w:type="dxa"/>
            <w:tcBorders/>
            <w:vAlign w:val="center"/>
          </w:tcPr>
          <w:p>
            <w:pPr>
              <w:pStyle w:val="TableContents"/>
              <w:bidi w:val="0"/>
              <w:spacing w:before="0" w:after="283"/>
              <w:jc w:val="left"/>
              <w:rPr/>
            </w:pPr>
            <w:r>
              <w:rPr/>
              <w:t>8.2, 9.1.2</w:t>
            </w:r>
          </w:p>
        </w:tc>
      </w:tr>
      <w:tr>
        <w:trPr/>
        <w:tc>
          <w:tcPr>
            <w:tcW w:w="495" w:type="dxa"/>
            <w:tcBorders/>
            <w:vAlign w:val="center"/>
          </w:tcPr>
          <w:p>
            <w:pPr>
              <w:pStyle w:val="TableContents"/>
              <w:bidi w:val="0"/>
              <w:spacing w:before="0" w:after="283"/>
              <w:jc w:val="left"/>
              <w:rPr/>
            </w:pPr>
            <w:r>
              <w:rPr/>
              <w:t>G-16</w:t>
            </w:r>
          </w:p>
        </w:tc>
        <w:tc>
          <w:tcPr>
            <w:tcW w:w="9809" w:type="dxa"/>
            <w:tcBorders/>
            <w:vAlign w:val="center"/>
          </w:tcPr>
          <w:p>
            <w:pPr>
              <w:pStyle w:val="TableContents"/>
              <w:bidi w:val="0"/>
              <w:spacing w:before="0" w:after="283"/>
              <w:jc w:val="left"/>
              <w:rPr/>
            </w:pPr>
            <w:r>
              <w:rPr/>
              <w:t>No design review records, no recorded design inputs or acceptance criteria, no requirement-to-test traceability</w:t>
            </w:r>
          </w:p>
        </w:tc>
        <w:tc>
          <w:tcPr>
            <w:tcW w:w="1035" w:type="dxa"/>
            <w:tcBorders/>
            <w:vAlign w:val="center"/>
          </w:tcPr>
          <w:p>
            <w:pPr>
              <w:pStyle w:val="TableContents"/>
              <w:bidi w:val="0"/>
              <w:spacing w:before="0" w:after="283"/>
              <w:jc w:val="left"/>
              <w:rPr/>
            </w:pPr>
            <w:r>
              <w:rPr/>
              <w:t>8.3</w:t>
            </w:r>
          </w:p>
        </w:tc>
      </w:tr>
      <w:tr>
        <w:trPr/>
        <w:tc>
          <w:tcPr>
            <w:tcW w:w="495" w:type="dxa"/>
            <w:tcBorders/>
            <w:vAlign w:val="center"/>
          </w:tcPr>
          <w:p>
            <w:pPr>
              <w:pStyle w:val="TableContents"/>
              <w:bidi w:val="0"/>
              <w:spacing w:before="0" w:after="283"/>
              <w:jc w:val="left"/>
              <w:rPr/>
            </w:pPr>
            <w:r>
              <w:rPr/>
              <w:t>G-18</w:t>
            </w:r>
          </w:p>
        </w:tc>
        <w:tc>
          <w:tcPr>
            <w:tcW w:w="9809" w:type="dxa"/>
            <w:tcBorders/>
            <w:vAlign w:val="center"/>
          </w:tcPr>
          <w:p>
            <w:pPr>
              <w:pStyle w:val="TableContents"/>
              <w:bidi w:val="0"/>
              <w:spacing w:before="0" w:after="283"/>
              <w:jc w:val="left"/>
              <w:rPr/>
            </w:pPr>
            <w:r>
              <w:rPr/>
              <w:t>No change register or significance criteria</w:t>
            </w:r>
          </w:p>
        </w:tc>
        <w:tc>
          <w:tcPr>
            <w:tcW w:w="1035" w:type="dxa"/>
            <w:tcBorders/>
            <w:vAlign w:val="center"/>
          </w:tcPr>
          <w:p>
            <w:pPr>
              <w:pStyle w:val="TableContents"/>
              <w:bidi w:val="0"/>
              <w:spacing w:before="0" w:after="283"/>
              <w:jc w:val="left"/>
              <w:rPr/>
            </w:pPr>
            <w:r>
              <w:rPr/>
              <w:t>8.5.6</w:t>
            </w:r>
          </w:p>
        </w:tc>
      </w:tr>
      <w:tr>
        <w:trPr/>
        <w:tc>
          <w:tcPr>
            <w:tcW w:w="495" w:type="dxa"/>
            <w:tcBorders/>
            <w:vAlign w:val="center"/>
          </w:tcPr>
          <w:p>
            <w:pPr>
              <w:pStyle w:val="TableContents"/>
              <w:bidi w:val="0"/>
              <w:spacing w:before="0" w:after="283"/>
              <w:jc w:val="left"/>
              <w:rPr/>
            </w:pPr>
            <w:r>
              <w:rPr/>
              <w:t>G-19</w:t>
            </w:r>
          </w:p>
        </w:tc>
        <w:tc>
          <w:tcPr>
            <w:tcW w:w="9809" w:type="dxa"/>
            <w:tcBorders/>
            <w:vAlign w:val="center"/>
          </w:tcPr>
          <w:p>
            <w:pPr>
              <w:pStyle w:val="TableContents"/>
              <w:bidi w:val="0"/>
              <w:spacing w:before="0" w:after="283"/>
              <w:jc w:val="left"/>
              <w:rPr/>
            </w:pPr>
            <w:r>
              <w:rPr/>
              <w:t>No nonconformity disposition/concession process; no customer-notification procedure; effectiveness verification inconsistent</w:t>
            </w:r>
          </w:p>
        </w:tc>
        <w:tc>
          <w:tcPr>
            <w:tcW w:w="1035" w:type="dxa"/>
            <w:tcBorders/>
            <w:vAlign w:val="center"/>
          </w:tcPr>
          <w:p>
            <w:pPr>
              <w:pStyle w:val="TableContents"/>
              <w:bidi w:val="0"/>
              <w:spacing w:before="0" w:after="283"/>
              <w:jc w:val="left"/>
              <w:rPr/>
            </w:pPr>
            <w:r>
              <w:rPr/>
              <w:t>8.7, 10.2</w:t>
            </w:r>
          </w:p>
        </w:tc>
      </w:tr>
      <w:tr>
        <w:trPr/>
        <w:tc>
          <w:tcPr>
            <w:tcW w:w="495" w:type="dxa"/>
            <w:tcBorders/>
            <w:vAlign w:val="center"/>
          </w:tcPr>
          <w:p>
            <w:pPr>
              <w:pStyle w:val="TableContents"/>
              <w:bidi w:val="0"/>
              <w:spacing w:before="0" w:after="283"/>
              <w:jc w:val="left"/>
              <w:rPr/>
            </w:pPr>
            <w:r>
              <w:rPr/>
              <w:t>G-13</w:t>
            </w:r>
          </w:p>
        </w:tc>
        <w:tc>
          <w:tcPr>
            <w:tcW w:w="9809" w:type="dxa"/>
            <w:tcBorders/>
            <w:vAlign w:val="center"/>
          </w:tcPr>
          <w:p>
            <w:pPr>
              <w:pStyle w:val="TableContents"/>
              <w:bidi w:val="0"/>
              <w:spacing w:before="0" w:after="283"/>
              <w:jc w:val="left"/>
              <w:rPr/>
            </w:pPr>
            <w:r>
              <w:rPr/>
              <w:t>No competence records</w:t>
            </w:r>
          </w:p>
        </w:tc>
        <w:tc>
          <w:tcPr>
            <w:tcW w:w="1035" w:type="dxa"/>
            <w:tcBorders/>
            <w:vAlign w:val="center"/>
          </w:tcPr>
          <w:p>
            <w:pPr>
              <w:pStyle w:val="TableContents"/>
              <w:bidi w:val="0"/>
              <w:spacing w:before="0" w:after="283"/>
              <w:jc w:val="left"/>
              <w:rPr/>
            </w:pPr>
            <w:r>
              <w:rPr/>
              <w:t>7.2</w:t>
            </w:r>
          </w:p>
        </w:tc>
      </w:tr>
      <w:tr>
        <w:trPr/>
        <w:tc>
          <w:tcPr>
            <w:tcW w:w="495" w:type="dxa"/>
            <w:tcBorders/>
            <w:vAlign w:val="center"/>
          </w:tcPr>
          <w:p>
            <w:pPr>
              <w:pStyle w:val="TableContents"/>
              <w:bidi w:val="0"/>
              <w:spacing w:before="0" w:after="283"/>
              <w:jc w:val="left"/>
              <w:rPr/>
            </w:pPr>
            <w:r>
              <w:rPr/>
              <w:t>G-08</w:t>
            </w:r>
          </w:p>
        </w:tc>
        <w:tc>
          <w:tcPr>
            <w:tcW w:w="9809" w:type="dxa"/>
            <w:tcBorders/>
            <w:vAlign w:val="center"/>
          </w:tcPr>
          <w:p>
            <w:pPr>
              <w:pStyle w:val="TableContents"/>
              <w:bidi w:val="0"/>
              <w:spacing w:before="0" w:after="283"/>
              <w:jc w:val="left"/>
              <w:rPr/>
            </w:pPr>
            <w:r>
              <w:rPr/>
              <w:t>Bus factor 1; roles not separable; organisational knowledge concentrated</w:t>
            </w:r>
          </w:p>
        </w:tc>
        <w:tc>
          <w:tcPr>
            <w:tcW w:w="1035" w:type="dxa"/>
            <w:tcBorders/>
            <w:vAlign w:val="center"/>
          </w:tcPr>
          <w:p>
            <w:pPr>
              <w:pStyle w:val="TableContents"/>
              <w:bidi w:val="0"/>
              <w:spacing w:before="0" w:after="283"/>
              <w:jc w:val="left"/>
              <w:rPr/>
            </w:pPr>
            <w:r>
              <w:rPr/>
              <w:t>5.3, 7.1.6</w:t>
            </w:r>
          </w:p>
        </w:tc>
      </w:tr>
      <w:tr>
        <w:trPr/>
        <w:tc>
          <w:tcPr>
            <w:tcW w:w="495" w:type="dxa"/>
            <w:tcBorders/>
            <w:vAlign w:val="center"/>
          </w:tcPr>
          <w:p>
            <w:pPr>
              <w:pStyle w:val="TableContents"/>
              <w:bidi w:val="0"/>
              <w:spacing w:before="0" w:after="283"/>
              <w:jc w:val="left"/>
              <w:rPr/>
            </w:pPr>
            <w:r>
              <w:rPr/>
              <w:t>G-14</w:t>
            </w:r>
          </w:p>
        </w:tc>
        <w:tc>
          <w:tcPr>
            <w:tcW w:w="9809" w:type="dxa"/>
            <w:tcBorders/>
            <w:vAlign w:val="center"/>
          </w:tcPr>
          <w:p>
            <w:pPr>
              <w:pStyle w:val="TableContents"/>
              <w:bidi w:val="0"/>
              <w:spacing w:before="0" w:after="283"/>
              <w:jc w:val="left"/>
              <w:rPr/>
            </w:pPr>
            <w:r>
              <w:rPr/>
              <w:t>External communication undefined</w:t>
            </w:r>
          </w:p>
        </w:tc>
        <w:tc>
          <w:tcPr>
            <w:tcW w:w="1035" w:type="dxa"/>
            <w:tcBorders/>
            <w:vAlign w:val="center"/>
          </w:tcPr>
          <w:p>
            <w:pPr>
              <w:pStyle w:val="TableContents"/>
              <w:bidi w:val="0"/>
              <w:spacing w:before="0" w:after="283"/>
              <w:jc w:val="left"/>
              <w:rPr/>
            </w:pPr>
            <w:r>
              <w:rPr/>
              <w:t>7.4</w:t>
            </w:r>
          </w:p>
        </w:tc>
      </w:tr>
      <w:tr>
        <w:trPr/>
        <w:tc>
          <w:tcPr>
            <w:tcW w:w="495" w:type="dxa"/>
            <w:tcBorders/>
            <w:vAlign w:val="center"/>
          </w:tcPr>
          <w:p>
            <w:pPr>
              <w:pStyle w:val="TableContents"/>
              <w:bidi w:val="0"/>
              <w:spacing w:before="0" w:after="283"/>
              <w:jc w:val="left"/>
              <w:rPr/>
            </w:pPr>
            <w:r>
              <w:rPr/>
              <w:t>G-17</w:t>
            </w:r>
          </w:p>
        </w:tc>
        <w:tc>
          <w:tcPr>
            <w:tcW w:w="9809" w:type="dxa"/>
            <w:tcBorders/>
            <w:vAlign w:val="center"/>
          </w:tcPr>
          <w:p>
            <w:pPr>
              <w:pStyle w:val="TableContents"/>
              <w:bidi w:val="0"/>
              <w:spacing w:before="0" w:after="283"/>
              <w:jc w:val="left"/>
              <w:rPr/>
            </w:pPr>
            <w:r>
              <w:rPr/>
              <w:t>No defined support process or escalation</w:t>
            </w:r>
          </w:p>
        </w:tc>
        <w:tc>
          <w:tcPr>
            <w:tcW w:w="1035" w:type="dxa"/>
            <w:tcBorders/>
            <w:vAlign w:val="center"/>
          </w:tcPr>
          <w:p>
            <w:pPr>
              <w:pStyle w:val="TableContents"/>
              <w:bidi w:val="0"/>
              <w:spacing w:before="0" w:after="283"/>
              <w:jc w:val="left"/>
              <w:rPr/>
            </w:pPr>
            <w:r>
              <w:rPr/>
              <w:t>8.5.5</w:t>
            </w:r>
          </w:p>
        </w:tc>
      </w:tr>
    </w:tbl>
    <w:p>
      <w:pPr>
        <w:pStyle w:val="Heading2"/>
        <w:bidi w:val="0"/>
        <w:jc w:val="left"/>
        <w:rPr/>
      </w:pPr>
      <w:r>
        <w:rPr/>
        <w:t>4. What is already strong</w:t>
      </w:r>
    </w:p>
    <w:p>
      <w:pPr>
        <w:pStyle w:val="BodyText"/>
        <w:bidi w:val="0"/>
        <w:jc w:val="left"/>
        <w:rPr/>
      </w:pPr>
      <w:r>
        <w:rPr/>
        <w:t>It would be a false picture to list only gaps. These are genuine strengths an auditor should be shown, and several are unusual in a small software organisation:</w:t>
      </w:r>
    </w:p>
    <w:tbl>
      <w:tblPr>
        <w:tblW w:w="11339" w:type="dxa"/>
        <w:jc w:val="left"/>
        <w:tblInd w:w="0" w:type="dxa"/>
        <w:tblLayout w:type="fixed"/>
        <w:tblCellMar>
          <w:top w:w="28" w:type="dxa"/>
          <w:left w:w="28" w:type="dxa"/>
          <w:bottom w:w="28" w:type="dxa"/>
          <w:right w:w="28" w:type="dxa"/>
        </w:tblCellMar>
      </w:tblPr>
      <w:tblGrid>
        <w:gridCol w:w="2790"/>
        <w:gridCol w:w="8549"/>
      </w:tblGrid>
      <w:tr>
        <w:trPr>
          <w:tblHeader w:val="true"/>
        </w:trPr>
        <w:tc>
          <w:tcPr>
            <w:tcW w:w="2790" w:type="dxa"/>
            <w:tcBorders/>
            <w:vAlign w:val="center"/>
          </w:tcPr>
          <w:p>
            <w:pPr>
              <w:pStyle w:val="TableHeading"/>
              <w:suppressLineNumbers/>
              <w:shd w:fill="1F3A5F" w:val="clear"/>
              <w:bidi w:val="0"/>
              <w:spacing w:before="0" w:after="283"/>
              <w:jc w:val="center"/>
              <w:rPr/>
            </w:pPr>
            <w:r>
              <w:rPr/>
              <w:t>Strength</w:t>
            </w:r>
          </w:p>
        </w:tc>
        <w:tc>
          <w:tcPr>
            <w:tcW w:w="8549" w:type="dxa"/>
            <w:tcBorders/>
            <w:vAlign w:val="center"/>
          </w:tcPr>
          <w:p>
            <w:pPr>
              <w:pStyle w:val="TableHeading"/>
              <w:suppressLineNumbers/>
              <w:shd w:fill="1F3A5F" w:val="clear"/>
              <w:bidi w:val="0"/>
              <w:spacing w:before="0" w:after="283"/>
              <w:jc w:val="center"/>
              <w:rPr/>
            </w:pPr>
            <w:r>
              <w:rPr/>
              <w:t>Evidence</w:t>
            </w:r>
          </w:p>
        </w:tc>
      </w:tr>
      <w:tr>
        <w:trPr/>
        <w:tc>
          <w:tcPr>
            <w:tcW w:w="2790" w:type="dxa"/>
            <w:tcBorders/>
            <w:vAlign w:val="center"/>
          </w:tcPr>
          <w:p>
            <w:pPr>
              <w:pStyle w:val="TableContents"/>
              <w:bidi w:val="0"/>
              <w:spacing w:before="0" w:after="283"/>
              <w:jc w:val="left"/>
              <w:rPr/>
            </w:pPr>
            <w:r>
              <w:rPr>
                <w:rStyle w:val="Strong"/>
              </w:rPr>
              <w:t>Documented information control is properly solved</w:t>
            </w:r>
          </w:p>
        </w:tc>
        <w:tc>
          <w:tcPr>
            <w:tcW w:w="8549" w:type="dxa"/>
            <w:tcBorders/>
            <w:vAlign w:val="center"/>
          </w:tcPr>
          <w:p>
            <w:pPr>
              <w:pStyle w:val="TableContents"/>
              <w:bidi w:val="0"/>
              <w:spacing w:before="0" w:after="283"/>
              <w:jc w:val="left"/>
              <w:rPr/>
            </w:pPr>
            <w:r>
              <w:rPr/>
              <w:t>Git as the control mechanism — versioned, attributed, timestamped, replicated, tamper-evident. Better than most manual document systems.</w:t>
            </w:r>
          </w:p>
        </w:tc>
      </w:tr>
      <w:tr>
        <w:trPr/>
        <w:tc>
          <w:tcPr>
            <w:tcW w:w="2790" w:type="dxa"/>
            <w:tcBorders/>
            <w:vAlign w:val="center"/>
          </w:tcPr>
          <w:p>
            <w:pPr>
              <w:pStyle w:val="TableContents"/>
              <w:bidi w:val="0"/>
              <w:spacing w:before="0" w:after="283"/>
              <w:jc w:val="left"/>
              <w:rPr/>
            </w:pPr>
            <w:r>
              <w:rPr>
                <w:rStyle w:val="Strong"/>
              </w:rPr>
              <w:t>A real, version-controlled measuring instrument</w:t>
            </w:r>
          </w:p>
        </w:tc>
        <w:tc>
          <w:tcPr>
            <w:tcW w:w="8549" w:type="dxa"/>
            <w:tcBorders/>
            <w:vAlign w:val="center"/>
          </w:tcPr>
          <w:p>
            <w:pPr>
              <w:pStyle w:val="TableContents"/>
              <w:bidi w:val="0"/>
              <w:spacing w:before="0" w:after="283"/>
              <w:jc w:val="left"/>
              <w:rPr/>
            </w:pPr>
            <w:r>
              <w:rPr/>
              <w:t xml:space="preserve">52 golden questions across 7 domains in </w:t>
            </w:r>
            <w:r>
              <w:rPr>
                <w:rStyle w:val="SourceText"/>
              </w:rPr>
              <w:t>eval/golden/</w:t>
            </w:r>
            <w:r>
              <w:rPr/>
              <w:t xml:space="preserve">, a binary suite gate at </w:t>
            </w:r>
            <w:r>
              <w:rPr>
                <w:rStyle w:val="SourceText"/>
              </w:rPr>
              <w:t>eval/run_eval.py:281</w:t>
            </w:r>
            <w:r>
              <w:rPr/>
              <w:t>, citation-precision measurement</w:t>
            </w:r>
          </w:p>
        </w:tc>
      </w:tr>
      <w:tr>
        <w:trPr/>
        <w:tc>
          <w:tcPr>
            <w:tcW w:w="2790" w:type="dxa"/>
            <w:tcBorders/>
            <w:vAlign w:val="center"/>
          </w:tcPr>
          <w:p>
            <w:pPr>
              <w:pStyle w:val="TableContents"/>
              <w:bidi w:val="0"/>
              <w:spacing w:before="0" w:after="283"/>
              <w:jc w:val="left"/>
              <w:rPr/>
            </w:pPr>
            <w:r>
              <w:rPr>
                <w:rStyle w:val="Strong"/>
              </w:rPr>
              <w:t>Measurement honesty</w:t>
            </w:r>
          </w:p>
        </w:tc>
        <w:tc>
          <w:tcPr>
            <w:tcW w:w="8549" w:type="dxa"/>
            <w:tcBorders/>
            <w:vAlign w:val="center"/>
          </w:tcPr>
          <w:p>
            <w:pPr>
              <w:pStyle w:val="TableContents"/>
              <w:bidi w:val="0"/>
              <w:spacing w:before="0" w:after="283"/>
              <w:jc w:val="left"/>
              <w:rPr/>
            </w:pPr>
            <w:r>
              <w:rPr>
                <w:rStyle w:val="SourceText"/>
              </w:rPr>
              <w:t>eval/paper/results/SUMMARY.json</w:t>
            </w:r>
            <w:r>
              <w:rPr/>
              <w:t xml:space="preserve"> records findings that contradict the organisation's own published paper, and marks an experiment </w:t>
            </w:r>
            <w:r>
              <w:rPr>
                <w:rStyle w:val="SourceText"/>
              </w:rPr>
              <w:t>"not_run"</w:t>
            </w:r>
            <w:r>
              <w:rPr/>
              <w:t xml:space="preserve"> rather than estimating it. This is the single best cultural evidence in the repository.</w:t>
            </w:r>
          </w:p>
        </w:tc>
      </w:tr>
      <w:tr>
        <w:trPr/>
        <w:tc>
          <w:tcPr>
            <w:tcW w:w="2790" w:type="dxa"/>
            <w:tcBorders/>
            <w:vAlign w:val="center"/>
          </w:tcPr>
          <w:p>
            <w:pPr>
              <w:pStyle w:val="TableContents"/>
              <w:bidi w:val="0"/>
              <w:spacing w:before="0" w:after="283"/>
              <w:jc w:val="left"/>
              <w:rPr/>
            </w:pPr>
            <w:r>
              <w:rPr>
                <w:rStyle w:val="Strong"/>
              </w:rPr>
              <w:t>Root-cause discipline</w:t>
            </w:r>
          </w:p>
        </w:tc>
        <w:tc>
          <w:tcPr>
            <w:tcW w:w="8549" w:type="dxa"/>
            <w:tcBorders/>
            <w:vAlign w:val="center"/>
          </w:tcPr>
          <w:p>
            <w:pPr>
              <w:pStyle w:val="TableContents"/>
              <w:bidi w:val="0"/>
              <w:spacing w:before="0" w:after="283"/>
              <w:jc w:val="left"/>
              <w:rPr/>
            </w:pPr>
            <w:r>
              <w:rPr/>
              <w:t xml:space="preserve">Commit bodies routinely carry defect → root cause → fix → verification. </w:t>
            </w:r>
            <w:r>
              <w:rPr>
                <w:rStyle w:val="SourceText"/>
              </w:rPr>
              <w:t>4e27109</w:t>
            </w:r>
            <w:r>
              <w:rPr/>
              <w:t xml:space="preserve"> verified 0/359 out-of-namespace hits after a tenant-isolation fix; </w:t>
            </w:r>
            <w:r>
              <w:rPr>
                <w:rStyle w:val="SourceText"/>
              </w:rPr>
              <w:t>724fb98</w:t>
            </w:r>
            <w:r>
              <w:rPr/>
              <w:t xml:space="preserve"> verified a from-scratch rebuild of all six containers.</w:t>
            </w:r>
          </w:p>
        </w:tc>
      </w:tr>
      <w:tr>
        <w:trPr/>
        <w:tc>
          <w:tcPr>
            <w:tcW w:w="2790" w:type="dxa"/>
            <w:tcBorders/>
            <w:vAlign w:val="center"/>
          </w:tcPr>
          <w:p>
            <w:pPr>
              <w:pStyle w:val="TableContents"/>
              <w:bidi w:val="0"/>
              <w:spacing w:before="0" w:after="283"/>
              <w:jc w:val="left"/>
              <w:rPr/>
            </w:pPr>
            <w:r>
              <w:rPr>
                <w:rStyle w:val="Strong"/>
              </w:rPr>
              <w:t>Quality-by-design in the product itself</w:t>
            </w:r>
          </w:p>
        </w:tc>
        <w:tc>
          <w:tcPr>
            <w:tcW w:w="8549" w:type="dxa"/>
            <w:tcBorders/>
            <w:vAlign w:val="center"/>
          </w:tcPr>
          <w:p>
            <w:pPr>
              <w:pStyle w:val="TableContents"/>
              <w:bidi w:val="0"/>
              <w:spacing w:before="0" w:after="283"/>
              <w:jc w:val="left"/>
              <w:rPr/>
            </w:pPr>
            <w:r>
              <w:rPr/>
              <w:t>Relevance gating, citation filtering, honest abstention, injection guards asserted by unit tests — the product's own design embodies the quality policy</w:t>
            </w:r>
          </w:p>
        </w:tc>
      </w:tr>
      <w:tr>
        <w:trPr/>
        <w:tc>
          <w:tcPr>
            <w:tcW w:w="2790" w:type="dxa"/>
            <w:tcBorders/>
            <w:vAlign w:val="center"/>
          </w:tcPr>
          <w:p>
            <w:pPr>
              <w:pStyle w:val="TableContents"/>
              <w:bidi w:val="0"/>
              <w:spacing w:before="0" w:after="283"/>
              <w:jc w:val="left"/>
              <w:rPr/>
            </w:pPr>
            <w:r>
              <w:rPr>
                <w:rStyle w:val="Strong"/>
              </w:rPr>
              <w:t>Self-recovering operation</w:t>
            </w:r>
          </w:p>
        </w:tc>
        <w:tc>
          <w:tcPr>
            <w:tcW w:w="8549" w:type="dxa"/>
            <w:tcBorders/>
            <w:vAlign w:val="center"/>
          </w:tcPr>
          <w:p>
            <w:pPr>
              <w:pStyle w:val="TableContents"/>
              <w:bidi w:val="0"/>
              <w:spacing w:before="0" w:after="283"/>
              <w:jc w:val="left"/>
              <w:rPr/>
            </w:pPr>
            <w:r>
              <w:rPr/>
              <w:t>Health endpoints, CUDA-fault watchdog, restart policies on all six services</w:t>
            </w:r>
          </w:p>
        </w:tc>
      </w:tr>
      <w:tr>
        <w:trPr/>
        <w:tc>
          <w:tcPr>
            <w:tcW w:w="2790" w:type="dxa"/>
            <w:tcBorders/>
            <w:vAlign w:val="center"/>
          </w:tcPr>
          <w:p>
            <w:pPr>
              <w:pStyle w:val="TableContents"/>
              <w:bidi w:val="0"/>
              <w:spacing w:before="0" w:after="283"/>
              <w:jc w:val="left"/>
              <w:rPr/>
            </w:pPr>
            <w:r>
              <w:rPr>
                <w:rStyle w:val="Strong"/>
              </w:rPr>
              <w:t>Architecture documentation</w:t>
            </w:r>
          </w:p>
        </w:tc>
        <w:tc>
          <w:tcPr>
            <w:tcW w:w="8549" w:type="dxa"/>
            <w:tcBorders/>
            <w:vAlign w:val="center"/>
          </w:tcPr>
          <w:p>
            <w:pPr>
              <w:pStyle w:val="TableContents"/>
              <w:bidi w:val="0"/>
              <w:spacing w:before="0" w:after="283"/>
              <w:jc w:val="left"/>
              <w:rPr/>
            </w:pPr>
            <w:r>
              <w:rPr/>
              <w:t>~1,900 lines of flow and architecture documentation plus a 1,257-line user manual</w:t>
            </w:r>
          </w:p>
        </w:tc>
      </w:tr>
    </w:tbl>
    <w:p>
      <w:pPr>
        <w:pStyle w:val="Heading2"/>
        <w:bidi w:val="0"/>
        <w:jc w:val="left"/>
        <w:rPr/>
      </w:pPr>
      <w:r>
        <w:rPr/>
        <w:t>5. Honest bottom line</w:t>
      </w:r>
    </w:p>
    <w:p>
      <w:pPr>
        <w:pStyle w:val="BodyText"/>
        <w:bidi w:val="0"/>
        <w:jc w:val="left"/>
        <w:rPr/>
      </w:pPr>
      <w:r>
        <w:rPr/>
        <w:t xml:space="preserve">If an auditor arrived tomorrow, the outcome would be a </w:t>
      </w:r>
      <w:r>
        <w:rPr>
          <w:rStyle w:val="Strong"/>
        </w:rPr>
        <w:t>major nonconformity against clauses 9.2 and 9.3</w:t>
      </w:r>
      <w:r>
        <w:rPr/>
        <w:t xml:space="preserve"> (no audit, no management review) and a further major against </w:t>
      </w:r>
      <w:r>
        <w:rPr>
          <w:rStyle w:val="Strong"/>
        </w:rPr>
        <w:t>8.6</w:t>
      </w:r>
      <w:r>
        <w:rPr/>
        <w:t xml:space="preserve"> (no evidence of release verification), plus a set of minors. That is the expected result for a system documented on day one, and it is not a reflection on the engineering.</w:t>
      </w:r>
    </w:p>
    <w:p>
      <w:pPr>
        <w:pStyle w:val="BodyText"/>
        <w:bidi w:val="0"/>
        <w:spacing w:before="0" w:after="283"/>
        <w:jc w:val="left"/>
        <w:rPr/>
      </w:pPr>
      <w:r>
        <w:rPr/>
        <w:t>The realistic path is: adopt (ADOPTION_GUIDE.md §3), close Priority 1 on operational grounds, then accumulate three to six months of genuine operating records. The records cannot be compressed — which is precisely why they are worth something.</w:t>
      </w:r>
    </w:p>
    <w:sectPr>
      <w:type w:val="nextPage"/>
      <w:pgSz w:w="11906" w:h="16838"/>
      <w:pgMar w:left="1134" w:right="567" w:gutter="0" w:header="0" w:top="567" w:footer="0" w:bottom="567"/>
      <w:pgNumType w:fmt="decimal"/>
      <w:formProt w:val="false"/>
      <w:textDirection w:val="lrTb"/>
      <w:docGrid w:type="default" w:linePitch="600" w:charSpace="38911"/>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altName w:val="Arial"/>
    <w:charset w:val="01"/>
    <w:family w:val="auto"/>
    <w:pitch w:val="default"/>
  </w:font>
  <w:font w:name="Noto Sans">
    <w:charset w:val="01"/>
    <w:family w:val="auto"/>
    <w:pitch w:val="variable"/>
  </w:font>
  <w:font w:name="Consolas">
    <w:charset w:val="01"/>
    <w:family w:val="auto"/>
    <w:pitch w:val="default"/>
  </w:font>
  <w:font w:name="Liberation Sans">
    <w:altName w:val="Arial"/>
    <w:charset w:val="01"/>
    <w:family w:val="swiss"/>
    <w:pitch w:val="variable"/>
  </w:font>
</w:fonts>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Lohit Devanagari"/>
        <w:sz w:val="24"/>
        <w:szCs w:val="24"/>
        <w:lang w:val="en-US" w:eastAsia="zh-CN" w:bidi="hi-IN"/>
      </w:rPr>
    </w:rPrDefault>
    <w:pPrDefault>
      <w:pPr>
        <w:suppressAutoHyphens w:val="true"/>
      </w:pPr>
    </w:pPrDefault>
  </w:docDefaults>
  <w:style w:type="paragraph" w:styleId="Normal">
    <w:name w:val="Normal"/>
    <w:qFormat/>
    <w:pPr>
      <w:widowControl w:val="false"/>
      <w:bidi w:val="0"/>
    </w:pPr>
    <w:rPr>
      <w:rFonts w:ascii="Calibri;Arial" w:hAnsi="Calibri;Arial" w:eastAsia="Calibri;Arial" w:cs="Calibri;Arial"/>
      <w:color w:val="auto"/>
      <w:sz w:val="21"/>
      <w:szCs w:val="21"/>
      <w:lang w:val="en-US" w:eastAsia="zh-CN" w:bidi="hi-IN"/>
    </w:rPr>
  </w:style>
  <w:style w:type="paragraph" w:styleId="Heading1">
    <w:name w:val="Heading 1"/>
    <w:basedOn w:val="Heading"/>
    <w:next w:val="BodyText"/>
    <w:qFormat/>
    <w:pPr/>
    <w:rPr>
      <w:rFonts w:ascii="Noto Sans" w:hAnsi="Noto Sans"/>
      <w:b/>
      <w:bCs/>
      <w:color w:val="1F3A5F"/>
      <w:sz w:val="48"/>
      <w:szCs w:val="44"/>
    </w:rPr>
  </w:style>
  <w:style w:type="paragraph" w:styleId="Heading2">
    <w:name w:val="Heading 2"/>
    <w:basedOn w:val="Heading"/>
    <w:next w:val="BodyText"/>
    <w:qFormat/>
    <w:pPr>
      <w:spacing w:before="200" w:after="120"/>
      <w:outlineLvl w:val="1"/>
    </w:pPr>
    <w:rPr>
      <w:rFonts w:ascii="Liberation Serif" w:hAnsi="Liberation Serif" w:eastAsia="Noto Serif CJK SC" w:cs="Lohit Devanagari"/>
      <w:b/>
      <w:bCs/>
      <w:sz w:val="36"/>
      <w:szCs w:val="36"/>
    </w:rPr>
  </w:style>
  <w:style w:type="paragraph" w:styleId="Heading3">
    <w:name w:val="Heading 3"/>
    <w:basedOn w:val="Heading"/>
    <w:next w:val="BodyText"/>
    <w:qFormat/>
    <w:pPr>
      <w:spacing w:before="140" w:after="120"/>
      <w:outlineLvl w:val="2"/>
    </w:pPr>
    <w:rPr>
      <w:rFonts w:ascii="Liberation Serif" w:hAnsi="Liberation Serif" w:eastAsia="Noto Serif CJK SC" w:cs="Lohit Devanagari"/>
      <w:b/>
      <w:bCs/>
      <w:sz w:val="28"/>
      <w:szCs w:val="28"/>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000080"/>
      <w:u w:val="single"/>
    </w:rPr>
  </w:style>
  <w:style w:type="character" w:styleId="SourceText">
    <w:name w:val="Source Text"/>
    <w:qFormat/>
    <w:rPr>
      <w:rFonts w:ascii="Consolas" w:hAnsi="Consolas" w:eastAsia="Consolas" w:cs="Consolas"/>
    </w:rPr>
  </w:style>
  <w:style w:type="character" w:styleId="Strong">
    <w:name w:val="Strong"/>
    <w:qFormat/>
    <w:rPr>
      <w:b/>
      <w:bCs/>
    </w:rPr>
  </w:style>
  <w:style w:type="character" w:styleId="Emphasis">
    <w:name w:val="Emphasis"/>
    <w:qFormat/>
    <w:rPr>
      <w:i/>
      <w:iCs/>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z w:val="18"/>
      <w:szCs w:val="18"/>
    </w:rPr>
  </w:style>
  <w:style w:type="paragraph" w:styleId="Footer">
    <w:name w:val="Footer"/>
    <w:basedOn w:val="Normal"/>
    <w:pPr>
      <w:suppressLineNumbers/>
      <w:tabs>
        <w:tab w:val="clear" w:pos="1134"/>
        <w:tab w:val="center" w:pos="4818" w:leader="none"/>
        <w:tab w:val="right" w:pos="9637" w:leader="none"/>
      </w:tabs>
    </w:pPr>
    <w:rPr/>
  </w:style>
  <w:style w:type="paragraph" w:styleId="Header">
    <w:name w:val="Header"/>
    <w:basedOn w:val="Normal"/>
    <w:pPr>
      <w:suppressLineNumbers/>
      <w:tabs>
        <w:tab w:val="clear" w:pos="1134"/>
        <w:tab w:val="center" w:pos="4818" w:leader="none"/>
        <w:tab w:val="right" w:pos="9637" w:leader="none"/>
      </w:tabs>
    </w:pPr>
    <w:rPr/>
  </w:style>
  <w:style w:type="paragraph" w:styleId="HeaderandFooter">
    <w:name w:val="Header and Footer"/>
    <w:basedOn w:val="Normal"/>
    <w:qFormat/>
    <w:pPr>
      <w:suppressLineNumbers/>
      <w:tabs>
        <w:tab w:val="clear" w:pos="1134"/>
        <w:tab w:val="center" w:pos="4819" w:leader="none"/>
        <w:tab w:val="right" w:pos="9638" w:leader="none"/>
      </w:tabs>
    </w:pPr>
    <w:rPr/>
  </w:style>
  <w:style w:type="paragraph" w:styleId="Index">
    <w:name w:val="Index"/>
    <w:basedOn w:val="Normal"/>
    <w:qFormat/>
    <w:pPr>
      <w:suppressLineNumbers/>
    </w:pPr>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styleId="List">
    <w:name w:val="List"/>
    <w:basedOn w:val="BodyText"/>
    <w:pPr/>
    <w:rPr>
      <w:rFonts w:cs="Lohit Devanagari"/>
    </w:rPr>
  </w:style>
  <w:style w:type="paragraph" w:styleId="BodyText">
    <w:name w:val="Body Text"/>
    <w:basedOn w:val="Normal"/>
    <w:pPr>
      <w:spacing w:before="0" w:after="283"/>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TableHeading">
    <w:name w:val="Table Heading"/>
    <w:basedOn w:val="TableContents"/>
    <w:qFormat/>
    <w:pPr>
      <w:suppressLineNumbers/>
      <w:shd w:fill="1F3A5F" w:val="clear"/>
      <w:jc w:val="center"/>
    </w:pPr>
    <w:rPr>
      <w:b/>
      <w:bCs/>
      <w:color w:val="FFFFFF"/>
      <w:sz w:val="18"/>
      <w:szCs w:val="18"/>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LibreOffice/24.2.7.2$Linux_AARCH64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
</cp:coreProperties>
</file>

<file path=docProps/custom.xml><?xml version="1.0" encoding="utf-8"?>
<Properties xmlns="http://schemas.openxmlformats.org/officeDocument/2006/custom-properties" xmlns:vt="http://schemas.openxmlformats.org/officeDocument/2006/docPropsVTypes"/>
</file>