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SOP-13 — Internal Audit</w:t>
      </w:r>
    </w:p>
    <w:tbl>
      <w:tblPr>
        <w:tblW w:w="4622" w:type="dxa"/>
        <w:jc w:val="left"/>
        <w:tblInd w:w="0" w:type="dxa"/>
        <w:tblLayout w:type="fixed"/>
        <w:tblCellMar>
          <w:top w:w="28" w:type="dxa"/>
          <w:left w:w="28" w:type="dxa"/>
          <w:bottom w:w="28" w:type="dxa"/>
          <w:right w:w="28" w:type="dxa"/>
        </w:tblCellMar>
      </w:tblPr>
      <w:tblGrid>
        <w:gridCol w:w="1951"/>
        <w:gridCol w:w="2671"/>
      </w:tblGrid>
      <w:tr>
        <w:trPr>
          <w:tblHeader w:val="true"/>
        </w:trPr>
        <w:tc>
          <w:tcPr>
            <w:tcW w:w="1951" w:type="dxa"/>
            <w:tcBorders/>
            <w:vAlign w:val="center"/>
          </w:tcPr>
          <w:p>
            <w:pPr>
              <w:pStyle w:val="TableHeading"/>
              <w:suppressLineNumbers/>
              <w:shd w:fill="1F3A5F" w:val="clear"/>
              <w:bidi w:val="0"/>
              <w:spacing w:before="0" w:after="283"/>
              <w:jc w:val="center"/>
              <w:rPr/>
            </w:pPr>
            <w:r>
              <w:rPr/>
              <w:t>Field</w:t>
            </w:r>
          </w:p>
        </w:tc>
        <w:tc>
          <w:tcPr>
            <w:tcW w:w="2671" w:type="dxa"/>
            <w:tcBorders/>
            <w:vAlign w:val="center"/>
          </w:tcPr>
          <w:p>
            <w:pPr>
              <w:pStyle w:val="TableHeading"/>
              <w:suppressLineNumbers/>
              <w:shd w:fill="1F3A5F" w:val="clear"/>
              <w:bidi w:val="0"/>
              <w:spacing w:before="0" w:after="283"/>
              <w:jc w:val="center"/>
              <w:rPr/>
            </w:pPr>
            <w:r>
              <w:rPr/>
              <w:t>Value</w:t>
            </w:r>
          </w:p>
        </w:tc>
      </w:tr>
      <w:tr>
        <w:trPr/>
        <w:tc>
          <w:tcPr>
            <w:tcW w:w="1951" w:type="dxa"/>
            <w:tcBorders/>
            <w:vAlign w:val="center"/>
          </w:tcPr>
          <w:p>
            <w:pPr>
              <w:pStyle w:val="TableContents"/>
              <w:bidi w:val="0"/>
              <w:spacing w:before="0" w:after="283"/>
              <w:jc w:val="left"/>
              <w:rPr/>
            </w:pPr>
            <w:r>
              <w:rPr/>
              <w:t>Document ID</w:t>
            </w:r>
          </w:p>
        </w:tc>
        <w:tc>
          <w:tcPr>
            <w:tcW w:w="2671" w:type="dxa"/>
            <w:tcBorders/>
            <w:vAlign w:val="center"/>
          </w:tcPr>
          <w:p>
            <w:pPr>
              <w:pStyle w:val="TableContents"/>
              <w:bidi w:val="0"/>
              <w:spacing w:before="0" w:after="283"/>
              <w:jc w:val="left"/>
              <w:rPr/>
            </w:pPr>
            <w:r>
              <w:rPr/>
              <w:t>SOP-13</w:t>
            </w:r>
          </w:p>
        </w:tc>
      </w:tr>
      <w:tr>
        <w:trPr/>
        <w:tc>
          <w:tcPr>
            <w:tcW w:w="1951" w:type="dxa"/>
            <w:tcBorders/>
            <w:vAlign w:val="center"/>
          </w:tcPr>
          <w:p>
            <w:pPr>
              <w:pStyle w:val="TableContents"/>
              <w:bidi w:val="0"/>
              <w:spacing w:before="0" w:after="283"/>
              <w:jc w:val="left"/>
              <w:rPr/>
            </w:pPr>
            <w:r>
              <w:rPr/>
              <w:t>Revision</w:t>
            </w:r>
          </w:p>
        </w:tc>
        <w:tc>
          <w:tcPr>
            <w:tcW w:w="2671" w:type="dxa"/>
            <w:tcBorders/>
            <w:vAlign w:val="center"/>
          </w:tcPr>
          <w:p>
            <w:pPr>
              <w:pStyle w:val="TableContents"/>
              <w:bidi w:val="0"/>
              <w:spacing w:before="0" w:after="283"/>
              <w:jc w:val="left"/>
              <w:rPr/>
            </w:pPr>
            <w:r>
              <w:rPr/>
              <w:t>1.0</w:t>
            </w:r>
          </w:p>
        </w:tc>
      </w:tr>
      <w:tr>
        <w:trPr/>
        <w:tc>
          <w:tcPr>
            <w:tcW w:w="1951" w:type="dxa"/>
            <w:tcBorders/>
            <w:vAlign w:val="center"/>
          </w:tcPr>
          <w:p>
            <w:pPr>
              <w:pStyle w:val="TableContents"/>
              <w:bidi w:val="0"/>
              <w:spacing w:before="0" w:after="283"/>
              <w:jc w:val="left"/>
              <w:rPr/>
            </w:pPr>
            <w:r>
              <w:rPr/>
              <w:t>Status</w:t>
            </w:r>
          </w:p>
        </w:tc>
        <w:tc>
          <w:tcPr>
            <w:tcW w:w="2671" w:type="dxa"/>
            <w:tcBorders/>
            <w:vAlign w:val="center"/>
          </w:tcPr>
          <w:p>
            <w:pPr>
              <w:pStyle w:val="TableContents"/>
              <w:bidi w:val="0"/>
              <w:spacing w:before="0" w:after="283"/>
              <w:jc w:val="left"/>
              <w:rPr/>
            </w:pPr>
            <w:r>
              <w:rPr>
                <w:rStyle w:val="Strong"/>
              </w:rPr>
              <w:t>DRAFT — not yet approved</w:t>
            </w:r>
          </w:p>
        </w:tc>
      </w:tr>
      <w:tr>
        <w:trPr/>
        <w:tc>
          <w:tcPr>
            <w:tcW w:w="1951" w:type="dxa"/>
            <w:tcBorders/>
            <w:vAlign w:val="center"/>
          </w:tcPr>
          <w:p>
            <w:pPr>
              <w:pStyle w:val="TableContents"/>
              <w:bidi w:val="0"/>
              <w:spacing w:before="0" w:after="283"/>
              <w:jc w:val="left"/>
              <w:rPr/>
            </w:pPr>
            <w:r>
              <w:rPr/>
              <w:t>Owner</w:t>
            </w:r>
          </w:p>
        </w:tc>
        <w:tc>
          <w:tcPr>
            <w:tcW w:w="2671" w:type="dxa"/>
            <w:tcBorders/>
            <w:vAlign w:val="center"/>
          </w:tcPr>
          <w:p>
            <w:pPr>
              <w:pStyle w:val="TableContents"/>
              <w:bidi w:val="0"/>
              <w:spacing w:before="0" w:after="283"/>
              <w:jc w:val="left"/>
              <w:rPr/>
            </w:pPr>
            <w:r>
              <w:rPr/>
              <w:t>Managing Director</w:t>
            </w:r>
          </w:p>
        </w:tc>
      </w:tr>
      <w:tr>
        <w:trPr/>
        <w:tc>
          <w:tcPr>
            <w:tcW w:w="1951" w:type="dxa"/>
            <w:tcBorders/>
            <w:vAlign w:val="center"/>
          </w:tcPr>
          <w:p>
            <w:pPr>
              <w:pStyle w:val="TableContents"/>
              <w:bidi w:val="0"/>
              <w:spacing w:before="0" w:after="283"/>
              <w:jc w:val="left"/>
              <w:rPr/>
            </w:pPr>
            <w:r>
              <w:rPr/>
              <w:t>Approved by</w:t>
            </w:r>
          </w:p>
        </w:tc>
        <w:tc>
          <w:tcPr>
            <w:tcW w:w="2671" w:type="dxa"/>
            <w:tcBorders/>
            <w:vAlign w:val="center"/>
          </w:tcPr>
          <w:p>
            <w:pPr>
              <w:pStyle w:val="TableContents"/>
              <w:bidi w:val="0"/>
              <w:spacing w:before="0" w:after="283"/>
              <w:jc w:val="left"/>
              <w:rPr/>
            </w:pPr>
            <w:r>
              <w:rPr>
                <w:rStyle w:val="SourceText"/>
              </w:rPr>
              <w:t>________________________</w:t>
            </w:r>
          </w:p>
        </w:tc>
      </w:tr>
      <w:tr>
        <w:trPr/>
        <w:tc>
          <w:tcPr>
            <w:tcW w:w="1951" w:type="dxa"/>
            <w:tcBorders/>
            <w:vAlign w:val="center"/>
          </w:tcPr>
          <w:p>
            <w:pPr>
              <w:pStyle w:val="TableContents"/>
              <w:bidi w:val="0"/>
              <w:spacing w:before="0" w:after="283"/>
              <w:jc w:val="left"/>
              <w:rPr/>
            </w:pPr>
            <w:r>
              <w:rPr/>
              <w:t>Approval date</w:t>
            </w:r>
          </w:p>
        </w:tc>
        <w:tc>
          <w:tcPr>
            <w:tcW w:w="2671" w:type="dxa"/>
            <w:tcBorders/>
            <w:vAlign w:val="center"/>
          </w:tcPr>
          <w:p>
            <w:pPr>
              <w:pStyle w:val="TableContents"/>
              <w:bidi w:val="0"/>
              <w:spacing w:before="0" w:after="283"/>
              <w:jc w:val="left"/>
              <w:rPr/>
            </w:pPr>
            <w:r>
              <w:rPr>
                <w:rStyle w:val="SourceText"/>
              </w:rPr>
              <w:t>____ / ____ / ________</w:t>
            </w:r>
          </w:p>
        </w:tc>
      </w:tr>
      <w:tr>
        <w:trPr/>
        <w:tc>
          <w:tcPr>
            <w:tcW w:w="1951" w:type="dxa"/>
            <w:tcBorders/>
            <w:vAlign w:val="center"/>
          </w:tcPr>
          <w:p>
            <w:pPr>
              <w:pStyle w:val="TableContents"/>
              <w:bidi w:val="0"/>
              <w:spacing w:before="0" w:after="283"/>
              <w:jc w:val="left"/>
              <w:rPr/>
            </w:pPr>
            <w:r>
              <w:rPr/>
              <w:t>ISO 9001:2015 clauses</w:t>
            </w:r>
          </w:p>
        </w:tc>
        <w:tc>
          <w:tcPr>
            <w:tcW w:w="2671" w:type="dxa"/>
            <w:tcBorders/>
            <w:vAlign w:val="center"/>
          </w:tcPr>
          <w:p>
            <w:pPr>
              <w:pStyle w:val="TableContents"/>
              <w:bidi w:val="0"/>
              <w:spacing w:before="0" w:after="283"/>
              <w:jc w:val="left"/>
              <w:rPr/>
            </w:pPr>
            <w:r>
              <w:rPr/>
              <w:t>9.2.1, 9.2.2</w:t>
            </w:r>
          </w:p>
        </w:tc>
      </w:tr>
    </w:tbl>
    <w:p>
      <w:pPr>
        <w:pStyle w:val="HorizontalLine"/>
        <w:bidi w:val="0"/>
        <w:jc w:val="left"/>
        <w:rPr/>
      </w:pPr>
      <w:r>
        <w:rPr/>
      </w:r>
    </w:p>
    <w:p>
      <w:pPr>
        <w:pStyle w:val="Heading2"/>
        <w:bidi w:val="0"/>
        <w:jc w:val="left"/>
        <w:rPr/>
      </w:pPr>
      <w:r>
        <w:rPr/>
        <w:t>1. Purpose</w:t>
      </w:r>
    </w:p>
    <w:p>
      <w:pPr>
        <w:pStyle w:val="BodyText"/>
        <w:bidi w:val="0"/>
        <w:jc w:val="left"/>
        <w:rPr/>
      </w:pPr>
      <w:r>
        <w:rPr/>
        <w:t>To define how Ajace AI plans, conducts, reports and follows up internal audits of the quality management system (QMS), so that the organisation obtains objective evidence of whether the QMS conforms to ISO 9001:2015 and to its own requirements, and whether it is effectively implemented and maintained.</w:t>
      </w:r>
    </w:p>
    <w:p>
      <w:pPr>
        <w:pStyle w:val="Heading2"/>
        <w:bidi w:val="0"/>
        <w:jc w:val="left"/>
        <w:rPr/>
      </w:pPr>
      <w:r>
        <w:rPr/>
        <w:t>2. Scope</w:t>
      </w:r>
    </w:p>
    <w:p>
      <w:pPr>
        <w:pStyle w:val="BodyText"/>
        <w:bidi w:val="0"/>
        <w:jc w:val="left"/>
        <w:rPr/>
      </w:pPr>
      <w:r>
        <w:rPr/>
        <w:t xml:space="preserve">The whole QMS: every clause of ISO 9001:2015 that applies to Ajace AI, every procedure in </w:t>
      </w:r>
      <w:r>
        <w:rPr>
          <w:rStyle w:val="SourceText"/>
        </w:rPr>
        <w:t>docs/qms/procedures/</w:t>
      </w:r>
      <w:r>
        <w:rPr/>
        <w:t>, and the engineering processes those procedures describe — requirements capture, design and development, build and release, evaluation, deployment and support of EchoMind Enterprise.</w:t>
      </w:r>
    </w:p>
    <w:p>
      <w:pPr>
        <w:pStyle w:val="BodyText"/>
        <w:bidi w:val="0"/>
        <w:jc w:val="left"/>
        <w:rPr/>
      </w:pPr>
      <w:r>
        <w:rPr/>
        <w:t xml:space="preserve">Audit of a </w:t>
      </w:r>
      <w:r>
        <w:rPr>
          <w:rStyle w:val="Strong"/>
        </w:rPr>
        <w:t>customer's</w:t>
      </w:r>
      <w:r>
        <w:rPr/>
        <w:t xml:space="preserve"> use of the deployed product is outside scope; Ajace AI has no access to customer deployments or customer data.</w:t>
      </w:r>
    </w:p>
    <w:p>
      <w:pPr>
        <w:pStyle w:val="Heading2"/>
        <w:bidi w:val="0"/>
        <w:jc w:val="left"/>
        <w:rPr/>
      </w:pPr>
      <w:r>
        <w:rPr/>
        <w:t>3. Responsibilities</w:t>
      </w:r>
    </w:p>
    <w:tbl>
      <w:tblPr>
        <w:tblW w:w="4729" w:type="dxa"/>
        <w:jc w:val="left"/>
        <w:tblInd w:w="0" w:type="dxa"/>
        <w:tblLayout w:type="fixed"/>
        <w:tblCellMar>
          <w:top w:w="28" w:type="dxa"/>
          <w:left w:w="28" w:type="dxa"/>
          <w:bottom w:w="28" w:type="dxa"/>
          <w:right w:w="28" w:type="dxa"/>
        </w:tblCellMar>
      </w:tblPr>
      <w:tblGrid>
        <w:gridCol w:w="1033"/>
        <w:gridCol w:w="3696"/>
      </w:tblGrid>
      <w:tr>
        <w:trPr>
          <w:tblHeader w:val="true"/>
        </w:trPr>
        <w:tc>
          <w:tcPr>
            <w:tcW w:w="1033" w:type="dxa"/>
            <w:tcBorders/>
            <w:vAlign w:val="center"/>
          </w:tcPr>
          <w:p>
            <w:pPr>
              <w:pStyle w:val="TableHeading"/>
              <w:suppressLineNumbers/>
              <w:shd w:fill="1F3A5F" w:val="clear"/>
              <w:bidi w:val="0"/>
              <w:spacing w:before="0" w:after="283"/>
              <w:jc w:val="center"/>
              <w:rPr/>
            </w:pPr>
            <w:r>
              <w:rPr/>
              <w:t>Role</w:t>
            </w:r>
          </w:p>
        </w:tc>
        <w:tc>
          <w:tcPr>
            <w:tcW w:w="3696" w:type="dxa"/>
            <w:tcBorders/>
            <w:vAlign w:val="center"/>
          </w:tcPr>
          <w:p>
            <w:pPr>
              <w:pStyle w:val="TableHeading"/>
              <w:suppressLineNumbers/>
              <w:shd w:fill="1F3A5F" w:val="clear"/>
              <w:bidi w:val="0"/>
              <w:spacing w:before="0" w:after="283"/>
              <w:jc w:val="center"/>
              <w:rPr/>
            </w:pPr>
            <w:r>
              <w:rPr/>
              <w:t>Responsibility</w:t>
            </w:r>
          </w:p>
        </w:tc>
      </w:tr>
      <w:tr>
        <w:trPr/>
        <w:tc>
          <w:tcPr>
            <w:tcW w:w="1033" w:type="dxa"/>
            <w:tcBorders/>
            <w:vAlign w:val="center"/>
          </w:tcPr>
          <w:p>
            <w:pPr>
              <w:pStyle w:val="TableContents"/>
              <w:bidi w:val="0"/>
              <w:spacing w:before="0" w:after="283"/>
              <w:jc w:val="left"/>
              <w:rPr/>
            </w:pPr>
            <w:r>
              <w:rPr/>
              <w:t>Managing Director</w:t>
            </w:r>
          </w:p>
        </w:tc>
        <w:tc>
          <w:tcPr>
            <w:tcW w:w="3696" w:type="dxa"/>
            <w:tcBorders/>
            <w:vAlign w:val="center"/>
          </w:tcPr>
          <w:p>
            <w:pPr>
              <w:pStyle w:val="TableContents"/>
              <w:bidi w:val="0"/>
              <w:spacing w:before="0" w:after="283"/>
              <w:jc w:val="left"/>
              <w:rPr/>
            </w:pPr>
            <w:r>
              <w:rPr/>
              <w:t xml:space="preserve">Owns this procedure. Approves the audit programme and any change to it. Selects and appoints the auditor. Receives the audit report. Ensures findings are actioned under </w:t>
            </w:r>
            <w:r>
              <w:rPr>
                <w:rStyle w:val="SourceText"/>
              </w:rPr>
              <w:t>SOP-14</w:t>
            </w:r>
            <w:r>
              <w:rPr/>
              <w:t>.</w:t>
            </w:r>
          </w:p>
        </w:tc>
      </w:tr>
      <w:tr>
        <w:trPr/>
        <w:tc>
          <w:tcPr>
            <w:tcW w:w="1033" w:type="dxa"/>
            <w:tcBorders/>
            <w:vAlign w:val="center"/>
          </w:tcPr>
          <w:p>
            <w:pPr>
              <w:pStyle w:val="TableContents"/>
              <w:bidi w:val="0"/>
              <w:spacing w:before="0" w:after="283"/>
              <w:jc w:val="left"/>
              <w:rPr/>
            </w:pPr>
            <w:r>
              <w:rPr/>
              <w:t>Auditor</w:t>
            </w:r>
          </w:p>
        </w:tc>
        <w:tc>
          <w:tcPr>
            <w:tcW w:w="3696" w:type="dxa"/>
            <w:tcBorders/>
            <w:vAlign w:val="center"/>
          </w:tcPr>
          <w:p>
            <w:pPr>
              <w:pStyle w:val="TableContents"/>
              <w:bidi w:val="0"/>
              <w:spacing w:before="0" w:after="283"/>
              <w:jc w:val="left"/>
              <w:rPr/>
            </w:pPr>
            <w:r>
              <w:rPr/>
              <w:t>Plans and conducts the audit against the criteria in §6. Gathers objective evidence. Classifies and reports findings. Does not propose the corrective action — that is the auditee's responsibility, so that the audit stays an evaluation and does not become a design activity.</w:t>
            </w:r>
          </w:p>
        </w:tc>
      </w:tr>
      <w:tr>
        <w:trPr/>
        <w:tc>
          <w:tcPr>
            <w:tcW w:w="1033" w:type="dxa"/>
            <w:tcBorders/>
            <w:vAlign w:val="center"/>
          </w:tcPr>
          <w:p>
            <w:pPr>
              <w:pStyle w:val="TableContents"/>
              <w:bidi w:val="0"/>
              <w:spacing w:before="0" w:after="283"/>
              <w:jc w:val="left"/>
              <w:rPr/>
            </w:pPr>
            <w:r>
              <w:rPr/>
              <w:t>Auditee (process owner)</w:t>
            </w:r>
          </w:p>
        </w:tc>
        <w:tc>
          <w:tcPr>
            <w:tcW w:w="3696" w:type="dxa"/>
            <w:tcBorders/>
            <w:vAlign w:val="center"/>
          </w:tcPr>
          <w:p>
            <w:pPr>
              <w:pStyle w:val="TableContents"/>
              <w:bidi w:val="0"/>
              <w:spacing w:before="0" w:after="283"/>
              <w:jc w:val="left"/>
              <w:rPr/>
            </w:pPr>
            <w:r>
              <w:rPr/>
              <w:t xml:space="preserve">Makes evidence available. Agrees the factual accuracy of each finding, or records disagreement in the report. Raises a nonconformity record under </w:t>
            </w:r>
            <w:r>
              <w:rPr>
                <w:rStyle w:val="SourceText"/>
              </w:rPr>
              <w:t>SOP-14</w:t>
            </w:r>
            <w:r>
              <w:rPr/>
              <w:t xml:space="preserve"> for each nonconformity finding and owns the resulting action.</w:t>
            </w:r>
          </w:p>
        </w:tc>
      </w:tr>
    </w:tbl>
    <w:p>
      <w:pPr>
        <w:pStyle w:val="BodyText"/>
        <w:bidi w:val="0"/>
        <w:jc w:val="left"/>
        <w:rPr/>
      </w:pPr>
      <w:r>
        <w:rPr/>
        <w:t>Ajace AI currently has one person, who holds the Managing Director and auditee roles. The consequences of this for auditor independence are dealt with explicitly in §5 and §11 — not glossed over.</w:t>
      </w:r>
    </w:p>
    <w:p>
      <w:pPr>
        <w:pStyle w:val="Heading2"/>
        <w:bidi w:val="0"/>
        <w:jc w:val="left"/>
        <w:rPr/>
      </w:pPr>
      <w:r>
        <w:rPr/>
        <w:t>4. The audit programme (9.2.2 a)</w:t>
      </w:r>
    </w:p>
    <w:p>
      <w:pPr>
        <w:pStyle w:val="BodyText"/>
        <w:bidi w:val="0"/>
        <w:jc w:val="left"/>
        <w:rPr/>
      </w:pPr>
      <w:r>
        <w:rPr>
          <w:rStyle w:val="Strong"/>
        </w:rPr>
        <w:t>Cycle.</w:t>
      </w:r>
      <w:r>
        <w:rPr/>
        <w:t xml:space="preserve"> The audit programme runs on a </w:t>
      </w:r>
      <w:r>
        <w:rPr>
          <w:rStyle w:val="Strong"/>
        </w:rPr>
        <w:t>12-month cycle</w:t>
      </w:r>
      <w:r>
        <w:rPr/>
        <w:t>. Over one full cycle, every clause of ISO 9001:2015 that applies and every QMS process is audited at least once.</w:t>
      </w:r>
    </w:p>
    <w:p>
      <w:pPr>
        <w:pStyle w:val="BodyText"/>
        <w:bidi w:val="0"/>
        <w:jc w:val="left"/>
        <w:rPr/>
      </w:pPr>
      <w:r>
        <w:rPr>
          <w:rStyle w:val="Strong"/>
        </w:rPr>
        <w:t>Frequency and split.</w:t>
      </w:r>
      <w:r>
        <w:rPr/>
        <w:t xml:space="preserve"> The cycle is worked in two audit events rather than one, so that a finding raised early in the year has a scheduled point at which its effectiveness is re-checked:</w:t>
      </w:r>
    </w:p>
    <w:tbl>
      <w:tblPr>
        <w:tblW w:w="4729" w:type="dxa"/>
        <w:jc w:val="left"/>
        <w:tblInd w:w="0" w:type="dxa"/>
        <w:tblLayout w:type="fixed"/>
        <w:tblCellMar>
          <w:top w:w="28" w:type="dxa"/>
          <w:left w:w="28" w:type="dxa"/>
          <w:bottom w:w="28" w:type="dxa"/>
          <w:right w:w="28" w:type="dxa"/>
        </w:tblCellMar>
      </w:tblPr>
      <w:tblGrid>
        <w:gridCol w:w="603"/>
        <w:gridCol w:w="2136"/>
        <w:gridCol w:w="1990"/>
      </w:tblGrid>
      <w:tr>
        <w:trPr>
          <w:tblHeader w:val="true"/>
        </w:trPr>
        <w:tc>
          <w:tcPr>
            <w:tcW w:w="603" w:type="dxa"/>
            <w:tcBorders/>
            <w:vAlign w:val="center"/>
          </w:tcPr>
          <w:p>
            <w:pPr>
              <w:pStyle w:val="TableHeading"/>
              <w:suppressLineNumbers/>
              <w:shd w:fill="1F3A5F" w:val="clear"/>
              <w:bidi w:val="0"/>
              <w:spacing w:before="0" w:after="283"/>
              <w:jc w:val="center"/>
              <w:rPr/>
            </w:pPr>
            <w:r>
              <w:rPr/>
              <w:t>Event</w:t>
            </w:r>
          </w:p>
        </w:tc>
        <w:tc>
          <w:tcPr>
            <w:tcW w:w="2136" w:type="dxa"/>
            <w:tcBorders/>
            <w:vAlign w:val="center"/>
          </w:tcPr>
          <w:p>
            <w:pPr>
              <w:pStyle w:val="TableHeading"/>
              <w:suppressLineNumbers/>
              <w:shd w:fill="1F3A5F" w:val="clear"/>
              <w:bidi w:val="0"/>
              <w:spacing w:before="0" w:after="283"/>
              <w:jc w:val="center"/>
              <w:rPr/>
            </w:pPr>
            <w:r>
              <w:rPr/>
              <w:t>Nominal timing</w:t>
            </w:r>
          </w:p>
        </w:tc>
        <w:tc>
          <w:tcPr>
            <w:tcW w:w="1990" w:type="dxa"/>
            <w:tcBorders/>
            <w:vAlign w:val="center"/>
          </w:tcPr>
          <w:p>
            <w:pPr>
              <w:pStyle w:val="TableHeading"/>
              <w:suppressLineNumbers/>
              <w:shd w:fill="1F3A5F" w:val="clear"/>
              <w:bidi w:val="0"/>
              <w:spacing w:before="0" w:after="283"/>
              <w:jc w:val="center"/>
              <w:rPr/>
            </w:pPr>
            <w:r>
              <w:rPr/>
              <w:t>Coverage</w:t>
            </w:r>
          </w:p>
        </w:tc>
      </w:tr>
      <w:tr>
        <w:trPr/>
        <w:tc>
          <w:tcPr>
            <w:tcW w:w="603" w:type="dxa"/>
            <w:tcBorders/>
            <w:vAlign w:val="center"/>
          </w:tcPr>
          <w:p>
            <w:pPr>
              <w:pStyle w:val="TableContents"/>
              <w:bidi w:val="0"/>
              <w:spacing w:before="0" w:after="283"/>
              <w:jc w:val="left"/>
              <w:rPr/>
            </w:pPr>
            <w:r>
              <w:rPr/>
              <w:t>Audit A</w:t>
            </w:r>
          </w:p>
        </w:tc>
        <w:tc>
          <w:tcPr>
            <w:tcW w:w="2136" w:type="dxa"/>
            <w:tcBorders/>
            <w:vAlign w:val="center"/>
          </w:tcPr>
          <w:p>
            <w:pPr>
              <w:pStyle w:val="TableContents"/>
              <w:bidi w:val="0"/>
              <w:spacing w:before="0" w:after="283"/>
              <w:jc w:val="left"/>
              <w:rPr/>
            </w:pPr>
            <w:r>
              <w:rPr/>
              <w:t>Mid-cycle</w:t>
            </w:r>
          </w:p>
        </w:tc>
        <w:tc>
          <w:tcPr>
            <w:tcW w:w="1990" w:type="dxa"/>
            <w:tcBorders/>
            <w:vAlign w:val="center"/>
          </w:tcPr>
          <w:p>
            <w:pPr>
              <w:pStyle w:val="TableContents"/>
              <w:bidi w:val="0"/>
              <w:spacing w:before="0" w:after="283"/>
              <w:jc w:val="left"/>
              <w:rPr/>
            </w:pPr>
            <w:r>
              <w:rPr/>
              <w:t>Clauses 4, 5, 6, 7 — the management-system frame, plus documented information and competence</w:t>
            </w:r>
          </w:p>
        </w:tc>
      </w:tr>
      <w:tr>
        <w:trPr/>
        <w:tc>
          <w:tcPr>
            <w:tcW w:w="603" w:type="dxa"/>
            <w:tcBorders/>
            <w:vAlign w:val="center"/>
          </w:tcPr>
          <w:p>
            <w:pPr>
              <w:pStyle w:val="TableContents"/>
              <w:bidi w:val="0"/>
              <w:spacing w:before="0" w:after="283"/>
              <w:jc w:val="left"/>
              <w:rPr/>
            </w:pPr>
            <w:r>
              <w:rPr/>
              <w:t>Audit B</w:t>
            </w:r>
          </w:p>
        </w:tc>
        <w:tc>
          <w:tcPr>
            <w:tcW w:w="2136" w:type="dxa"/>
            <w:tcBorders/>
            <w:vAlign w:val="center"/>
          </w:tcPr>
          <w:p>
            <w:pPr>
              <w:pStyle w:val="TableContents"/>
              <w:bidi w:val="0"/>
              <w:spacing w:before="0" w:after="283"/>
              <w:jc w:val="left"/>
              <w:rPr/>
            </w:pPr>
            <w:r>
              <w:rPr/>
              <w:t>Pre-management-review, late cycle</w:t>
            </w:r>
          </w:p>
        </w:tc>
        <w:tc>
          <w:tcPr>
            <w:tcW w:w="1990" w:type="dxa"/>
            <w:tcBorders/>
            <w:vAlign w:val="center"/>
          </w:tcPr>
          <w:p>
            <w:pPr>
              <w:pStyle w:val="TableContents"/>
              <w:bidi w:val="0"/>
              <w:spacing w:before="0" w:after="283"/>
              <w:jc w:val="left"/>
              <w:rPr/>
            </w:pPr>
            <w:r>
              <w:rPr/>
              <w:t>Clauses 8, 9, 10 — the operational core, plus performance evaluation and improvement</w:t>
            </w:r>
          </w:p>
        </w:tc>
      </w:tr>
    </w:tbl>
    <w:p>
      <w:pPr>
        <w:pStyle w:val="BodyText"/>
        <w:bidi w:val="0"/>
        <w:jc w:val="left"/>
        <w:rPr/>
      </w:pPr>
      <w:r>
        <w:rPr>
          <w:rStyle w:val="Strong"/>
        </w:rPr>
        <w:t>Importance-weighted frequency.</w:t>
      </w:r>
      <w:r>
        <w:rPr/>
        <w:t xml:space="preserve"> Clause 9.2.2 a requires the programme to take account of the importance of the processes concerned, changes affecting the organisation, and the results of previous audits. The following processes are audited at </w:t>
      </w:r>
      <w:r>
        <w:rPr>
          <w:rStyle w:val="Strong"/>
        </w:rPr>
        <w:t>every</w:t>
      </w:r>
      <w:r>
        <w:rPr/>
        <w:t xml:space="preserve"> audit event regardless of the table in §4.1, because a failure in them has a direct customer or data consequence:</w:t>
      </w:r>
    </w:p>
    <w:tbl>
      <w:tblPr>
        <w:tblW w:w="4729" w:type="dxa"/>
        <w:jc w:val="left"/>
        <w:tblInd w:w="0" w:type="dxa"/>
        <w:tblLayout w:type="fixed"/>
        <w:tblCellMar>
          <w:top w:w="28" w:type="dxa"/>
          <w:left w:w="28" w:type="dxa"/>
          <w:bottom w:w="28" w:type="dxa"/>
          <w:right w:w="28" w:type="dxa"/>
        </w:tblCellMar>
      </w:tblPr>
      <w:tblGrid>
        <w:gridCol w:w="1798"/>
        <w:gridCol w:w="2931"/>
      </w:tblGrid>
      <w:tr>
        <w:trPr>
          <w:tblHeader w:val="true"/>
        </w:trPr>
        <w:tc>
          <w:tcPr>
            <w:tcW w:w="1798" w:type="dxa"/>
            <w:tcBorders/>
            <w:vAlign w:val="center"/>
          </w:tcPr>
          <w:p>
            <w:pPr>
              <w:pStyle w:val="TableHeading"/>
              <w:suppressLineNumbers/>
              <w:shd w:fill="1F3A5F" w:val="clear"/>
              <w:bidi w:val="0"/>
              <w:spacing w:before="0" w:after="283"/>
              <w:jc w:val="center"/>
              <w:rPr/>
            </w:pPr>
            <w:r>
              <w:rPr/>
              <w:t>Process</w:t>
            </w:r>
          </w:p>
        </w:tc>
        <w:tc>
          <w:tcPr>
            <w:tcW w:w="2931" w:type="dxa"/>
            <w:tcBorders/>
            <w:vAlign w:val="center"/>
          </w:tcPr>
          <w:p>
            <w:pPr>
              <w:pStyle w:val="TableHeading"/>
              <w:suppressLineNumbers/>
              <w:shd w:fill="1F3A5F" w:val="clear"/>
              <w:bidi w:val="0"/>
              <w:spacing w:before="0" w:after="283"/>
              <w:jc w:val="center"/>
              <w:rPr/>
            </w:pPr>
            <w:r>
              <w:rPr/>
              <w:t>Why it is audited every time</w:t>
            </w:r>
          </w:p>
        </w:tc>
      </w:tr>
      <w:tr>
        <w:trPr/>
        <w:tc>
          <w:tcPr>
            <w:tcW w:w="1798" w:type="dxa"/>
            <w:tcBorders/>
            <w:vAlign w:val="center"/>
          </w:tcPr>
          <w:p>
            <w:pPr>
              <w:pStyle w:val="TableContents"/>
              <w:bidi w:val="0"/>
              <w:spacing w:before="0" w:after="283"/>
              <w:jc w:val="left"/>
              <w:rPr/>
            </w:pPr>
            <w:r>
              <w:rPr/>
              <w:t>Tenant / namespace isolation of retrieved content</w:t>
            </w:r>
          </w:p>
        </w:tc>
        <w:tc>
          <w:tcPr>
            <w:tcW w:w="2931" w:type="dxa"/>
            <w:tcBorders/>
            <w:vAlign w:val="center"/>
          </w:tcPr>
          <w:p>
            <w:pPr>
              <w:pStyle w:val="TableContents"/>
              <w:bidi w:val="0"/>
              <w:spacing w:before="0" w:after="283"/>
              <w:jc w:val="left"/>
              <w:rPr/>
            </w:pPr>
            <w:r>
              <w:rPr/>
              <w:t xml:space="preserve">A failure crosses a customer boundary. It has failed before: commit </w:t>
            </w:r>
            <w:r>
              <w:rPr>
                <w:rStyle w:val="SourceText"/>
              </w:rPr>
              <w:t>4e27109</w:t>
            </w:r>
            <w:r>
              <w:rPr/>
              <w:t xml:space="preserve"> records a real isolation breach on the sparse transcript path.</w:t>
            </w:r>
          </w:p>
        </w:tc>
      </w:tr>
      <w:tr>
        <w:trPr/>
        <w:tc>
          <w:tcPr>
            <w:tcW w:w="1798" w:type="dxa"/>
            <w:tcBorders/>
            <w:vAlign w:val="center"/>
          </w:tcPr>
          <w:p>
            <w:pPr>
              <w:pStyle w:val="TableContents"/>
              <w:bidi w:val="0"/>
              <w:spacing w:before="0" w:after="283"/>
              <w:jc w:val="left"/>
              <w:rPr/>
            </w:pPr>
            <w:r>
              <w:rPr/>
              <w:t>Control of externally provided components (models, base images, packages)</w:t>
            </w:r>
          </w:p>
        </w:tc>
        <w:tc>
          <w:tcPr>
            <w:tcW w:w="2931" w:type="dxa"/>
            <w:tcBorders/>
            <w:vAlign w:val="center"/>
          </w:tcPr>
          <w:p>
            <w:pPr>
              <w:pStyle w:val="TableContents"/>
              <w:bidi w:val="0"/>
              <w:spacing w:before="0" w:after="283"/>
              <w:jc w:val="left"/>
              <w:rPr/>
            </w:pPr>
            <w:r>
              <w:rPr/>
              <w:t xml:space="preserve">The dependency chain is a moving target; </w:t>
            </w:r>
            <w:r>
              <w:rPr>
                <w:rStyle w:val="SourceText"/>
              </w:rPr>
              <w:t>backend/Dockerfile:19</w:t>
            </w:r>
            <w:r>
              <w:rPr/>
              <w:t xml:space="preserve"> installs </w:t>
            </w:r>
            <w:r>
              <w:rPr>
                <w:rStyle w:val="SourceText"/>
              </w:rPr>
              <w:t>nemo_toolkit[asr]</w:t>
            </w:r>
            <w:r>
              <w:rPr/>
              <w:t xml:space="preserve"> from the moving branch </w:t>
            </w:r>
            <w:r>
              <w:rPr>
                <w:rStyle w:val="SourceText"/>
              </w:rPr>
              <w:t>@main</w:t>
            </w:r>
            <w:r>
              <w:rPr/>
              <w:t>, which has already caused a real build and runtime outage (</w:t>
            </w:r>
            <w:r>
              <w:rPr>
                <w:rStyle w:val="SourceText"/>
              </w:rPr>
              <w:t>724fb98</w:t>
            </w:r>
            <w:r>
              <w:rPr/>
              <w:t>).</w:t>
            </w:r>
          </w:p>
        </w:tc>
      </w:tr>
      <w:tr>
        <w:trPr/>
        <w:tc>
          <w:tcPr>
            <w:tcW w:w="1798" w:type="dxa"/>
            <w:tcBorders/>
            <w:vAlign w:val="center"/>
          </w:tcPr>
          <w:p>
            <w:pPr>
              <w:pStyle w:val="TableContents"/>
              <w:bidi w:val="0"/>
              <w:spacing w:before="0" w:after="283"/>
              <w:jc w:val="left"/>
              <w:rPr/>
            </w:pPr>
            <w:r>
              <w:rPr/>
              <w:t>Release and change control</w:t>
            </w:r>
          </w:p>
        </w:tc>
        <w:tc>
          <w:tcPr>
            <w:tcW w:w="2931" w:type="dxa"/>
            <w:tcBorders/>
            <w:vAlign w:val="center"/>
          </w:tcPr>
          <w:p>
            <w:pPr>
              <w:pStyle w:val="TableContents"/>
              <w:bidi w:val="0"/>
              <w:spacing w:before="0" w:after="283"/>
              <w:jc w:val="left"/>
              <w:rPr/>
            </w:pPr>
            <w:r>
              <w:rPr/>
              <w:t>The organisation deploys direct-to-main with no CI; the control is entirely procedural, so its operation must be checked.</w:t>
            </w:r>
          </w:p>
        </w:tc>
      </w:tr>
      <w:tr>
        <w:trPr/>
        <w:tc>
          <w:tcPr>
            <w:tcW w:w="1798" w:type="dxa"/>
            <w:tcBorders/>
            <w:vAlign w:val="center"/>
          </w:tcPr>
          <w:p>
            <w:pPr>
              <w:pStyle w:val="TableContents"/>
              <w:bidi w:val="0"/>
              <w:spacing w:before="0" w:after="283"/>
              <w:jc w:val="left"/>
              <w:rPr/>
            </w:pPr>
            <w:r>
              <w:rPr/>
              <w:t>Nonconformity and corrective action</w:t>
            </w:r>
          </w:p>
        </w:tc>
        <w:tc>
          <w:tcPr>
            <w:tcW w:w="2931" w:type="dxa"/>
            <w:tcBorders/>
            <w:vAlign w:val="center"/>
          </w:tcPr>
          <w:p>
            <w:pPr>
              <w:pStyle w:val="TableContents"/>
              <w:bidi w:val="0"/>
              <w:spacing w:before="0" w:after="283"/>
              <w:jc w:val="left"/>
              <w:rPr/>
            </w:pPr>
            <w:r>
              <w:rPr/>
              <w:t xml:space="preserve">Verification of effectiveness is the step most often skipped anywhere; see </w:t>
            </w:r>
            <w:r>
              <w:rPr>
                <w:rStyle w:val="SourceText"/>
              </w:rPr>
              <w:t>SOP-14</w:t>
            </w:r>
            <w:r>
              <w:rPr/>
              <w:t xml:space="preserve"> §8.</w:t>
            </w:r>
          </w:p>
        </w:tc>
      </w:tr>
    </w:tbl>
    <w:p>
      <w:pPr>
        <w:pStyle w:val="BodyText"/>
        <w:bidi w:val="0"/>
        <w:jc w:val="left"/>
        <w:rPr/>
      </w:pPr>
      <w:r>
        <w:rPr>
          <w:rStyle w:val="Strong"/>
        </w:rPr>
        <w:t>Programme changes.</w:t>
      </w:r>
      <w:r>
        <w:rPr/>
        <w:t xml:space="preserve"> The Managing Director may bring an audit forward, extend its scope, or add an unscheduled audit following a significant nonconformity, a customer complaint, a change of platform or a change in the number of people in the organisation. Any change is recorded in the audit programme table below and the reason stated.</w:t>
      </w:r>
    </w:p>
    <w:p>
      <w:pPr>
        <w:pStyle w:val="Heading3"/>
        <w:bidi w:val="0"/>
        <w:jc w:val="left"/>
        <w:rPr/>
      </w:pPr>
      <w:r>
        <w:rPr/>
        <w:t>4.1 Audit schedule — clause and process coverage</w:t>
      </w:r>
    </w:p>
    <w:p>
      <w:pPr>
        <w:pStyle w:val="BodyText"/>
        <w:bidi w:val="0"/>
        <w:jc w:val="left"/>
        <w:rPr/>
      </w:pPr>
      <w:r>
        <w:rPr/>
        <w:t>Planned periods are placeholders until the programme is approved. They are completed by the Managing Director when the programme is set, and not before.</w:t>
      </w:r>
    </w:p>
    <w:tbl>
      <w:tblPr>
        <w:tblW w:w="4729" w:type="dxa"/>
        <w:jc w:val="left"/>
        <w:tblInd w:w="0" w:type="dxa"/>
        <w:tblLayout w:type="fixed"/>
        <w:tblCellMar>
          <w:top w:w="28" w:type="dxa"/>
          <w:left w:w="28" w:type="dxa"/>
          <w:bottom w:w="28" w:type="dxa"/>
          <w:right w:w="28" w:type="dxa"/>
        </w:tblCellMar>
      </w:tblPr>
      <w:tblGrid>
        <w:gridCol w:w="976"/>
        <w:gridCol w:w="1351"/>
        <w:gridCol w:w="1561"/>
        <w:gridCol w:w="841"/>
      </w:tblGrid>
      <w:tr>
        <w:trPr>
          <w:tblHeader w:val="true"/>
        </w:trPr>
        <w:tc>
          <w:tcPr>
            <w:tcW w:w="976" w:type="dxa"/>
            <w:tcBorders/>
            <w:vAlign w:val="center"/>
          </w:tcPr>
          <w:p>
            <w:pPr>
              <w:pStyle w:val="TableHeading"/>
              <w:suppressLineNumbers/>
              <w:shd w:fill="1F3A5F" w:val="clear"/>
              <w:bidi w:val="0"/>
              <w:spacing w:before="0" w:after="283"/>
              <w:jc w:val="center"/>
              <w:rPr/>
            </w:pPr>
            <w:r>
              <w:rPr/>
              <w:t>ISO 9001:2015 clause</w:t>
            </w:r>
          </w:p>
        </w:tc>
        <w:tc>
          <w:tcPr>
            <w:tcW w:w="1351" w:type="dxa"/>
            <w:tcBorders/>
            <w:vAlign w:val="center"/>
          </w:tcPr>
          <w:p>
            <w:pPr>
              <w:pStyle w:val="TableHeading"/>
              <w:suppressLineNumbers/>
              <w:shd w:fill="1F3A5F" w:val="clear"/>
              <w:bidi w:val="0"/>
              <w:spacing w:before="0" w:after="283"/>
              <w:jc w:val="center"/>
              <w:rPr/>
            </w:pPr>
            <w:r>
              <w:rPr/>
              <w:t>Process / procedure audited</w:t>
            </w:r>
          </w:p>
        </w:tc>
        <w:tc>
          <w:tcPr>
            <w:tcW w:w="1561" w:type="dxa"/>
            <w:tcBorders/>
            <w:vAlign w:val="center"/>
          </w:tcPr>
          <w:p>
            <w:pPr>
              <w:pStyle w:val="TableHeading"/>
              <w:suppressLineNumbers/>
              <w:shd w:fill="1F3A5F" w:val="clear"/>
              <w:bidi w:val="0"/>
              <w:spacing w:before="0" w:after="283"/>
              <w:jc w:val="center"/>
              <w:rPr/>
            </w:pPr>
            <w:r>
              <w:rPr/>
              <w:t>Principal evidence the auditor will seek</w:t>
            </w:r>
          </w:p>
        </w:tc>
        <w:tc>
          <w:tcPr>
            <w:tcW w:w="841" w:type="dxa"/>
            <w:tcBorders/>
            <w:vAlign w:val="center"/>
          </w:tcPr>
          <w:p>
            <w:pPr>
              <w:pStyle w:val="TableHeading"/>
              <w:suppressLineNumbers/>
              <w:shd w:fill="1F3A5F" w:val="clear"/>
              <w:bidi w:val="0"/>
              <w:spacing w:before="0" w:after="283"/>
              <w:jc w:val="center"/>
              <w:rPr/>
            </w:pPr>
            <w:r>
              <w:rPr/>
              <w:t>Planned period</w:t>
            </w:r>
          </w:p>
        </w:tc>
      </w:tr>
      <w:tr>
        <w:trPr/>
        <w:tc>
          <w:tcPr>
            <w:tcW w:w="976" w:type="dxa"/>
            <w:tcBorders/>
            <w:vAlign w:val="center"/>
          </w:tcPr>
          <w:p>
            <w:pPr>
              <w:pStyle w:val="TableContents"/>
              <w:bidi w:val="0"/>
              <w:spacing w:before="0" w:after="283"/>
              <w:jc w:val="left"/>
              <w:rPr/>
            </w:pPr>
            <w:r>
              <w:rPr/>
              <w:t>4.1, 4.2</w:t>
            </w:r>
          </w:p>
        </w:tc>
        <w:tc>
          <w:tcPr>
            <w:tcW w:w="1351" w:type="dxa"/>
            <w:tcBorders/>
            <w:vAlign w:val="center"/>
          </w:tcPr>
          <w:p>
            <w:pPr>
              <w:pStyle w:val="TableContents"/>
              <w:bidi w:val="0"/>
              <w:spacing w:before="0" w:after="283"/>
              <w:jc w:val="left"/>
              <w:rPr/>
            </w:pPr>
            <w:r>
              <w:rPr/>
              <w:t xml:space="preserve">Context and interested parties — </w:t>
            </w:r>
            <w:r>
              <w:rPr>
                <w:rStyle w:val="SourceText"/>
              </w:rPr>
              <w:t>SOP-02</w:t>
            </w:r>
            <w:r>
              <w:rPr/>
              <w:t xml:space="preserve"> §4, §5</w:t>
            </w:r>
          </w:p>
        </w:tc>
        <w:tc>
          <w:tcPr>
            <w:tcW w:w="1561" w:type="dxa"/>
            <w:tcBorders/>
            <w:vAlign w:val="center"/>
          </w:tcPr>
          <w:p>
            <w:pPr>
              <w:pStyle w:val="TableContents"/>
              <w:bidi w:val="0"/>
              <w:spacing w:before="0" w:after="283"/>
              <w:jc w:val="left"/>
              <w:rPr/>
            </w:pPr>
            <w:r>
              <w:rPr/>
              <w:t xml:space="preserve">Current determination; date last reviewed; traceability into </w:t>
            </w:r>
            <w:r>
              <w:rPr>
                <w:rStyle w:val="SourceText"/>
              </w:rPr>
              <w:t>QO-01</w:t>
            </w:r>
          </w:p>
        </w:tc>
        <w:tc>
          <w:tcPr>
            <w:tcW w:w="841" w:type="dxa"/>
            <w:tcBorders/>
            <w:vAlign w:val="center"/>
          </w:tcPr>
          <w:p>
            <w:pPr>
              <w:pStyle w:val="TableContents"/>
              <w:bidi w:val="0"/>
              <w:spacing w:before="0" w:after="283"/>
              <w:jc w:val="left"/>
              <w:rPr/>
            </w:pPr>
            <w:r>
              <w:rPr>
                <w:rStyle w:val="SourceText"/>
              </w:rPr>
              <w:t>__________</w:t>
            </w:r>
          </w:p>
        </w:tc>
      </w:tr>
      <w:tr>
        <w:trPr/>
        <w:tc>
          <w:tcPr>
            <w:tcW w:w="976" w:type="dxa"/>
            <w:tcBorders/>
            <w:vAlign w:val="center"/>
          </w:tcPr>
          <w:p>
            <w:pPr>
              <w:pStyle w:val="TableContents"/>
              <w:bidi w:val="0"/>
              <w:spacing w:before="0" w:after="283"/>
              <w:jc w:val="left"/>
              <w:rPr/>
            </w:pPr>
            <w:r>
              <w:rPr/>
              <w:t>4.3, 4.4</w:t>
            </w:r>
          </w:p>
        </w:tc>
        <w:tc>
          <w:tcPr>
            <w:tcW w:w="1351" w:type="dxa"/>
            <w:tcBorders/>
            <w:vAlign w:val="center"/>
          </w:tcPr>
          <w:p>
            <w:pPr>
              <w:pStyle w:val="TableContents"/>
              <w:bidi w:val="0"/>
              <w:spacing w:before="0" w:after="283"/>
              <w:jc w:val="left"/>
              <w:rPr/>
            </w:pPr>
            <w:r>
              <w:rPr/>
              <w:t xml:space="preserve">Scope and QMS processes — </w:t>
            </w:r>
            <w:r>
              <w:rPr>
                <w:rStyle w:val="SourceText"/>
              </w:rPr>
              <w:t>QM-01</w:t>
            </w:r>
          </w:p>
        </w:tc>
        <w:tc>
          <w:tcPr>
            <w:tcW w:w="1561" w:type="dxa"/>
            <w:tcBorders/>
            <w:vAlign w:val="center"/>
          </w:tcPr>
          <w:p>
            <w:pPr>
              <w:pStyle w:val="TableContents"/>
              <w:bidi w:val="0"/>
              <w:spacing w:before="0" w:after="283"/>
              <w:jc w:val="left"/>
              <w:rPr/>
            </w:pPr>
            <w:r>
              <w:rPr/>
              <w:t>Stated scope matches what is actually delivered; justified exclusions</w:t>
            </w:r>
          </w:p>
        </w:tc>
        <w:tc>
          <w:tcPr>
            <w:tcW w:w="841" w:type="dxa"/>
            <w:tcBorders/>
            <w:vAlign w:val="center"/>
          </w:tcPr>
          <w:p>
            <w:pPr>
              <w:pStyle w:val="TableContents"/>
              <w:bidi w:val="0"/>
              <w:spacing w:before="0" w:after="283"/>
              <w:jc w:val="left"/>
              <w:rPr/>
            </w:pPr>
            <w:r>
              <w:rPr>
                <w:rStyle w:val="SourceText"/>
              </w:rPr>
              <w:t>__________</w:t>
            </w:r>
          </w:p>
        </w:tc>
      </w:tr>
      <w:tr>
        <w:trPr/>
        <w:tc>
          <w:tcPr>
            <w:tcW w:w="976" w:type="dxa"/>
            <w:tcBorders/>
            <w:vAlign w:val="center"/>
          </w:tcPr>
          <w:p>
            <w:pPr>
              <w:pStyle w:val="TableContents"/>
              <w:bidi w:val="0"/>
              <w:spacing w:before="0" w:after="283"/>
              <w:jc w:val="left"/>
              <w:rPr/>
            </w:pPr>
            <w:r>
              <w:rPr/>
              <w:t>5.1, 5.2, 5.3</w:t>
            </w:r>
          </w:p>
        </w:tc>
        <w:tc>
          <w:tcPr>
            <w:tcW w:w="1351" w:type="dxa"/>
            <w:tcBorders/>
            <w:vAlign w:val="center"/>
          </w:tcPr>
          <w:p>
            <w:pPr>
              <w:pStyle w:val="TableContents"/>
              <w:bidi w:val="0"/>
              <w:spacing w:before="0" w:after="283"/>
              <w:jc w:val="left"/>
              <w:rPr/>
            </w:pPr>
            <w:r>
              <w:rPr/>
              <w:t xml:space="preserve">Leadership, policy, roles — </w:t>
            </w:r>
            <w:r>
              <w:rPr>
                <w:rStyle w:val="SourceText"/>
              </w:rPr>
              <w:t>QP-01</w:t>
            </w:r>
          </w:p>
        </w:tc>
        <w:tc>
          <w:tcPr>
            <w:tcW w:w="1561" w:type="dxa"/>
            <w:tcBorders/>
            <w:vAlign w:val="center"/>
          </w:tcPr>
          <w:p>
            <w:pPr>
              <w:pStyle w:val="TableContents"/>
              <w:bidi w:val="0"/>
              <w:spacing w:before="0" w:after="283"/>
              <w:jc w:val="left"/>
              <w:rPr/>
            </w:pPr>
            <w:r>
              <w:rPr/>
              <w:t>Policy communicated and current; roles assigned in each procedure §3</w:t>
            </w:r>
          </w:p>
        </w:tc>
        <w:tc>
          <w:tcPr>
            <w:tcW w:w="841" w:type="dxa"/>
            <w:tcBorders/>
            <w:vAlign w:val="center"/>
          </w:tcPr>
          <w:p>
            <w:pPr>
              <w:pStyle w:val="TableContents"/>
              <w:bidi w:val="0"/>
              <w:spacing w:before="0" w:after="283"/>
              <w:jc w:val="left"/>
              <w:rPr/>
            </w:pPr>
            <w:r>
              <w:rPr>
                <w:rStyle w:val="SourceText"/>
              </w:rPr>
              <w:t>__________</w:t>
            </w:r>
          </w:p>
        </w:tc>
      </w:tr>
      <w:tr>
        <w:trPr/>
        <w:tc>
          <w:tcPr>
            <w:tcW w:w="976" w:type="dxa"/>
            <w:tcBorders/>
            <w:vAlign w:val="center"/>
          </w:tcPr>
          <w:p>
            <w:pPr>
              <w:pStyle w:val="TableContents"/>
              <w:bidi w:val="0"/>
              <w:spacing w:before="0" w:after="283"/>
              <w:jc w:val="left"/>
              <w:rPr/>
            </w:pPr>
            <w:r>
              <w:rPr/>
              <w:t>6.1</w:t>
            </w:r>
          </w:p>
        </w:tc>
        <w:tc>
          <w:tcPr>
            <w:tcW w:w="1351" w:type="dxa"/>
            <w:tcBorders/>
            <w:vAlign w:val="center"/>
          </w:tcPr>
          <w:p>
            <w:pPr>
              <w:pStyle w:val="TableContents"/>
              <w:bidi w:val="0"/>
              <w:spacing w:before="0" w:after="283"/>
              <w:jc w:val="left"/>
              <w:rPr/>
            </w:pPr>
            <w:r>
              <w:rPr/>
              <w:t xml:space="preserve">Risk and opportunity — </w:t>
            </w:r>
            <w:r>
              <w:rPr>
                <w:rStyle w:val="SourceText"/>
              </w:rPr>
              <w:t>SOP-02</w:t>
            </w:r>
            <w:r>
              <w:rPr/>
              <w:t xml:space="preserve"> §6–§8, </w:t>
            </w:r>
            <w:r>
              <w:rPr>
                <w:rStyle w:val="SourceText"/>
              </w:rPr>
              <w:t>REG-03</w:t>
            </w:r>
          </w:p>
        </w:tc>
        <w:tc>
          <w:tcPr>
            <w:tcW w:w="1561" w:type="dxa"/>
            <w:tcBorders/>
            <w:vAlign w:val="center"/>
          </w:tcPr>
          <w:p>
            <w:pPr>
              <w:pStyle w:val="TableContents"/>
              <w:bidi w:val="0"/>
              <w:spacing w:before="0" w:after="283"/>
              <w:jc w:val="left"/>
              <w:rPr/>
            </w:pPr>
            <w:r>
              <w:rPr/>
              <w:t>Register live; treatments evidenced by path; residual acceptances dated and signed</w:t>
            </w:r>
          </w:p>
        </w:tc>
        <w:tc>
          <w:tcPr>
            <w:tcW w:w="841" w:type="dxa"/>
            <w:tcBorders/>
            <w:vAlign w:val="center"/>
          </w:tcPr>
          <w:p>
            <w:pPr>
              <w:pStyle w:val="TableContents"/>
              <w:bidi w:val="0"/>
              <w:spacing w:before="0" w:after="283"/>
              <w:jc w:val="left"/>
              <w:rPr/>
            </w:pPr>
            <w:r>
              <w:rPr>
                <w:rStyle w:val="SourceText"/>
              </w:rPr>
              <w:t>__________</w:t>
            </w:r>
          </w:p>
        </w:tc>
      </w:tr>
      <w:tr>
        <w:trPr/>
        <w:tc>
          <w:tcPr>
            <w:tcW w:w="976" w:type="dxa"/>
            <w:tcBorders/>
            <w:vAlign w:val="center"/>
          </w:tcPr>
          <w:p>
            <w:pPr>
              <w:pStyle w:val="TableContents"/>
              <w:bidi w:val="0"/>
              <w:spacing w:before="0" w:after="283"/>
              <w:jc w:val="left"/>
              <w:rPr/>
            </w:pPr>
            <w:r>
              <w:rPr/>
              <w:t>6.2</w:t>
            </w:r>
          </w:p>
        </w:tc>
        <w:tc>
          <w:tcPr>
            <w:tcW w:w="1351" w:type="dxa"/>
            <w:tcBorders/>
            <w:vAlign w:val="center"/>
          </w:tcPr>
          <w:p>
            <w:pPr>
              <w:pStyle w:val="TableContents"/>
              <w:bidi w:val="0"/>
              <w:spacing w:before="0" w:after="283"/>
              <w:jc w:val="left"/>
              <w:rPr/>
            </w:pPr>
            <w:r>
              <w:rPr/>
              <w:t xml:space="preserve">Quality objectives — </w:t>
            </w:r>
            <w:r>
              <w:rPr>
                <w:rStyle w:val="SourceText"/>
              </w:rPr>
              <w:t>QO-01</w:t>
            </w:r>
          </w:p>
        </w:tc>
        <w:tc>
          <w:tcPr>
            <w:tcW w:w="1561" w:type="dxa"/>
            <w:tcBorders/>
            <w:vAlign w:val="center"/>
          </w:tcPr>
          <w:p>
            <w:pPr>
              <w:pStyle w:val="TableContents"/>
              <w:bidi w:val="0"/>
              <w:spacing w:before="0" w:after="283"/>
              <w:jc w:val="left"/>
              <w:rPr/>
            </w:pPr>
            <w:r>
              <w:rPr/>
              <w:t>Objectives measurable; measurement actually taken; source data exists</w:t>
            </w:r>
          </w:p>
        </w:tc>
        <w:tc>
          <w:tcPr>
            <w:tcW w:w="841" w:type="dxa"/>
            <w:tcBorders/>
            <w:vAlign w:val="center"/>
          </w:tcPr>
          <w:p>
            <w:pPr>
              <w:pStyle w:val="TableContents"/>
              <w:bidi w:val="0"/>
              <w:spacing w:before="0" w:after="283"/>
              <w:jc w:val="left"/>
              <w:rPr/>
            </w:pPr>
            <w:r>
              <w:rPr>
                <w:rStyle w:val="SourceText"/>
              </w:rPr>
              <w:t>__________</w:t>
            </w:r>
          </w:p>
        </w:tc>
      </w:tr>
      <w:tr>
        <w:trPr/>
        <w:tc>
          <w:tcPr>
            <w:tcW w:w="976" w:type="dxa"/>
            <w:tcBorders/>
            <w:vAlign w:val="center"/>
          </w:tcPr>
          <w:p>
            <w:pPr>
              <w:pStyle w:val="TableContents"/>
              <w:bidi w:val="0"/>
              <w:spacing w:before="0" w:after="283"/>
              <w:jc w:val="left"/>
              <w:rPr/>
            </w:pPr>
            <w:r>
              <w:rPr/>
              <w:t>6.3</w:t>
            </w:r>
          </w:p>
        </w:tc>
        <w:tc>
          <w:tcPr>
            <w:tcW w:w="1351" w:type="dxa"/>
            <w:tcBorders/>
            <w:vAlign w:val="center"/>
          </w:tcPr>
          <w:p>
            <w:pPr>
              <w:pStyle w:val="TableContents"/>
              <w:bidi w:val="0"/>
              <w:spacing w:before="0" w:after="283"/>
              <w:jc w:val="left"/>
              <w:rPr/>
            </w:pPr>
            <w:r>
              <w:rPr/>
              <w:t xml:space="preserve">Planning of changes — </w:t>
            </w:r>
            <w:r>
              <w:rPr>
                <w:rStyle w:val="SourceText"/>
              </w:rPr>
              <w:t>SOP-02</w:t>
            </w:r>
            <w:r>
              <w:rPr/>
              <w:t xml:space="preserve"> §9</w:t>
            </w:r>
          </w:p>
        </w:tc>
        <w:tc>
          <w:tcPr>
            <w:tcW w:w="1561" w:type="dxa"/>
            <w:tcBorders/>
            <w:vAlign w:val="center"/>
          </w:tcPr>
          <w:p>
            <w:pPr>
              <w:pStyle w:val="TableContents"/>
              <w:bidi w:val="0"/>
              <w:spacing w:before="0" w:after="283"/>
              <w:jc w:val="left"/>
              <w:rPr/>
            </w:pPr>
            <w:r>
              <w:rPr/>
              <w:t>Commit bodies show purpose, consequences, integrity, resources</w:t>
            </w:r>
          </w:p>
        </w:tc>
        <w:tc>
          <w:tcPr>
            <w:tcW w:w="841" w:type="dxa"/>
            <w:tcBorders/>
            <w:vAlign w:val="center"/>
          </w:tcPr>
          <w:p>
            <w:pPr>
              <w:pStyle w:val="TableContents"/>
              <w:bidi w:val="0"/>
              <w:spacing w:before="0" w:after="283"/>
              <w:jc w:val="left"/>
              <w:rPr/>
            </w:pPr>
            <w:r>
              <w:rPr>
                <w:rStyle w:val="SourceText"/>
              </w:rPr>
              <w:t>__________</w:t>
            </w:r>
          </w:p>
        </w:tc>
      </w:tr>
      <w:tr>
        <w:trPr/>
        <w:tc>
          <w:tcPr>
            <w:tcW w:w="976" w:type="dxa"/>
            <w:tcBorders/>
            <w:vAlign w:val="center"/>
          </w:tcPr>
          <w:p>
            <w:pPr>
              <w:pStyle w:val="TableContents"/>
              <w:bidi w:val="0"/>
              <w:spacing w:before="0" w:after="283"/>
              <w:jc w:val="left"/>
              <w:rPr/>
            </w:pPr>
            <w:r>
              <w:rPr/>
              <w:t>7.1</w:t>
            </w:r>
          </w:p>
        </w:tc>
        <w:tc>
          <w:tcPr>
            <w:tcW w:w="1351" w:type="dxa"/>
            <w:tcBorders/>
            <w:vAlign w:val="center"/>
          </w:tcPr>
          <w:p>
            <w:pPr>
              <w:pStyle w:val="TableContents"/>
              <w:bidi w:val="0"/>
              <w:spacing w:before="0" w:after="283"/>
              <w:jc w:val="left"/>
              <w:rPr/>
            </w:pPr>
            <w:r>
              <w:rPr/>
              <w:t>Resources, infrastructure, monitoring resources</w:t>
            </w:r>
          </w:p>
        </w:tc>
        <w:tc>
          <w:tcPr>
            <w:tcW w:w="1561" w:type="dxa"/>
            <w:tcBorders/>
            <w:vAlign w:val="center"/>
          </w:tcPr>
          <w:p>
            <w:pPr>
              <w:pStyle w:val="TableContents"/>
              <w:bidi w:val="0"/>
              <w:spacing w:before="0" w:after="283"/>
              <w:jc w:val="left"/>
              <w:rPr/>
            </w:pPr>
            <w:r>
              <w:rPr/>
              <w:t>Hardware and GPU capacity adequate for the stated workload; calibration not applicable — no measuring instrumentation</w:t>
            </w:r>
          </w:p>
        </w:tc>
        <w:tc>
          <w:tcPr>
            <w:tcW w:w="841" w:type="dxa"/>
            <w:tcBorders/>
            <w:vAlign w:val="center"/>
          </w:tcPr>
          <w:p>
            <w:pPr>
              <w:pStyle w:val="TableContents"/>
              <w:bidi w:val="0"/>
              <w:spacing w:before="0" w:after="283"/>
              <w:jc w:val="left"/>
              <w:rPr/>
            </w:pPr>
            <w:r>
              <w:rPr>
                <w:rStyle w:val="SourceText"/>
              </w:rPr>
              <w:t>__________</w:t>
            </w:r>
          </w:p>
        </w:tc>
      </w:tr>
      <w:tr>
        <w:trPr/>
        <w:tc>
          <w:tcPr>
            <w:tcW w:w="976" w:type="dxa"/>
            <w:tcBorders/>
            <w:vAlign w:val="center"/>
          </w:tcPr>
          <w:p>
            <w:pPr>
              <w:pStyle w:val="TableContents"/>
              <w:bidi w:val="0"/>
              <w:spacing w:before="0" w:after="283"/>
              <w:jc w:val="left"/>
              <w:rPr/>
            </w:pPr>
            <w:r>
              <w:rPr/>
              <w:t>7.2, 7.3</w:t>
            </w:r>
          </w:p>
        </w:tc>
        <w:tc>
          <w:tcPr>
            <w:tcW w:w="1351" w:type="dxa"/>
            <w:tcBorders/>
            <w:vAlign w:val="center"/>
          </w:tcPr>
          <w:p>
            <w:pPr>
              <w:pStyle w:val="TableContents"/>
              <w:bidi w:val="0"/>
              <w:spacing w:before="0" w:after="283"/>
              <w:jc w:val="left"/>
              <w:rPr/>
            </w:pPr>
            <w:r>
              <w:rPr/>
              <w:t xml:space="preserve">Competence and awareness — </w:t>
            </w:r>
            <w:r>
              <w:rPr>
                <w:rStyle w:val="SourceText"/>
              </w:rPr>
              <w:t>SOP-03</w:t>
            </w:r>
            <w:r>
              <w:rPr/>
              <w:t xml:space="preserve">, </w:t>
            </w:r>
            <w:r>
              <w:rPr>
                <w:rStyle w:val="SourceText"/>
              </w:rPr>
              <w:t>REG-05</w:t>
            </w:r>
          </w:p>
        </w:tc>
        <w:tc>
          <w:tcPr>
            <w:tcW w:w="1561" w:type="dxa"/>
            <w:tcBorders/>
            <w:vAlign w:val="center"/>
          </w:tcPr>
          <w:p>
            <w:pPr>
              <w:pStyle w:val="TableContents"/>
              <w:bidi w:val="0"/>
              <w:spacing w:before="0" w:after="283"/>
              <w:jc w:val="left"/>
              <w:rPr/>
            </w:pPr>
            <w:r>
              <w:rPr>
                <w:rStyle w:val="SourceText"/>
              </w:rPr>
              <w:t>FRM-09</w:t>
            </w:r>
            <w:r>
              <w:rPr/>
              <w:t xml:space="preserve"> records; evidence behind each claimed competence</w:t>
            </w:r>
          </w:p>
        </w:tc>
        <w:tc>
          <w:tcPr>
            <w:tcW w:w="841" w:type="dxa"/>
            <w:tcBorders/>
            <w:vAlign w:val="center"/>
          </w:tcPr>
          <w:p>
            <w:pPr>
              <w:pStyle w:val="TableContents"/>
              <w:bidi w:val="0"/>
              <w:spacing w:before="0" w:after="283"/>
              <w:jc w:val="left"/>
              <w:rPr/>
            </w:pPr>
            <w:r>
              <w:rPr>
                <w:rStyle w:val="SourceText"/>
              </w:rPr>
              <w:t>__________</w:t>
            </w:r>
          </w:p>
        </w:tc>
      </w:tr>
      <w:tr>
        <w:trPr/>
        <w:tc>
          <w:tcPr>
            <w:tcW w:w="976" w:type="dxa"/>
            <w:tcBorders/>
            <w:vAlign w:val="center"/>
          </w:tcPr>
          <w:p>
            <w:pPr>
              <w:pStyle w:val="TableContents"/>
              <w:bidi w:val="0"/>
              <w:spacing w:before="0" w:after="283"/>
              <w:jc w:val="left"/>
              <w:rPr/>
            </w:pPr>
            <w:r>
              <w:rPr/>
              <w:t>7.4</w:t>
            </w:r>
          </w:p>
        </w:tc>
        <w:tc>
          <w:tcPr>
            <w:tcW w:w="1351" w:type="dxa"/>
            <w:tcBorders/>
            <w:vAlign w:val="center"/>
          </w:tcPr>
          <w:p>
            <w:pPr>
              <w:pStyle w:val="TableContents"/>
              <w:bidi w:val="0"/>
              <w:spacing w:before="0" w:after="283"/>
              <w:jc w:val="left"/>
              <w:rPr/>
            </w:pPr>
            <w:r>
              <w:rPr/>
              <w:t>Communication</w:t>
            </w:r>
          </w:p>
        </w:tc>
        <w:tc>
          <w:tcPr>
            <w:tcW w:w="1561" w:type="dxa"/>
            <w:tcBorders/>
            <w:vAlign w:val="center"/>
          </w:tcPr>
          <w:p>
            <w:pPr>
              <w:pStyle w:val="TableContents"/>
              <w:bidi w:val="0"/>
              <w:spacing w:before="0" w:after="283"/>
              <w:jc w:val="left"/>
              <w:rPr/>
            </w:pPr>
            <w:r>
              <w:rPr/>
              <w:t>How changes reach customers; release notes or their absence</w:t>
            </w:r>
          </w:p>
        </w:tc>
        <w:tc>
          <w:tcPr>
            <w:tcW w:w="841" w:type="dxa"/>
            <w:tcBorders/>
            <w:vAlign w:val="center"/>
          </w:tcPr>
          <w:p>
            <w:pPr>
              <w:pStyle w:val="TableContents"/>
              <w:bidi w:val="0"/>
              <w:spacing w:before="0" w:after="283"/>
              <w:jc w:val="left"/>
              <w:rPr/>
            </w:pPr>
            <w:r>
              <w:rPr>
                <w:rStyle w:val="SourceText"/>
              </w:rPr>
              <w:t>__________</w:t>
            </w:r>
          </w:p>
        </w:tc>
      </w:tr>
      <w:tr>
        <w:trPr/>
        <w:tc>
          <w:tcPr>
            <w:tcW w:w="976" w:type="dxa"/>
            <w:tcBorders/>
            <w:vAlign w:val="center"/>
          </w:tcPr>
          <w:p>
            <w:pPr>
              <w:pStyle w:val="TableContents"/>
              <w:bidi w:val="0"/>
              <w:spacing w:before="0" w:after="283"/>
              <w:jc w:val="left"/>
              <w:rPr/>
            </w:pPr>
            <w:r>
              <w:rPr/>
              <w:t>7.5</w:t>
            </w:r>
          </w:p>
        </w:tc>
        <w:tc>
          <w:tcPr>
            <w:tcW w:w="1351" w:type="dxa"/>
            <w:tcBorders/>
            <w:vAlign w:val="center"/>
          </w:tcPr>
          <w:p>
            <w:pPr>
              <w:pStyle w:val="TableContents"/>
              <w:bidi w:val="0"/>
              <w:spacing w:before="0" w:after="283"/>
              <w:jc w:val="left"/>
              <w:rPr/>
            </w:pPr>
            <w:r>
              <w:rPr/>
              <w:t xml:space="preserve">Documented information — </w:t>
            </w:r>
            <w:r>
              <w:rPr>
                <w:rStyle w:val="SourceText"/>
              </w:rPr>
              <w:t>SOP-01</w:t>
            </w:r>
          </w:p>
        </w:tc>
        <w:tc>
          <w:tcPr>
            <w:tcW w:w="1561" w:type="dxa"/>
            <w:tcBorders/>
            <w:vAlign w:val="center"/>
          </w:tcPr>
          <w:p>
            <w:pPr>
              <w:pStyle w:val="TableContents"/>
              <w:bidi w:val="0"/>
              <w:spacing w:before="0" w:after="283"/>
              <w:jc w:val="left"/>
              <w:rPr/>
            </w:pPr>
            <w:r>
              <w:rPr/>
              <w:t xml:space="preserve">Header tables complete; status values honest; nothing prohibited by </w:t>
            </w:r>
            <w:r>
              <w:rPr>
                <w:rStyle w:val="SourceText"/>
              </w:rPr>
              <w:t>SOP-01</w:t>
            </w:r>
            <w:r>
              <w:rPr/>
              <w:t xml:space="preserve"> §9 in the repository</w:t>
            </w:r>
          </w:p>
        </w:tc>
        <w:tc>
          <w:tcPr>
            <w:tcW w:w="841" w:type="dxa"/>
            <w:tcBorders/>
            <w:vAlign w:val="center"/>
          </w:tcPr>
          <w:p>
            <w:pPr>
              <w:pStyle w:val="TableContents"/>
              <w:bidi w:val="0"/>
              <w:spacing w:before="0" w:after="283"/>
              <w:jc w:val="left"/>
              <w:rPr/>
            </w:pPr>
            <w:r>
              <w:rPr>
                <w:rStyle w:val="SourceText"/>
              </w:rPr>
              <w:t>__________</w:t>
            </w:r>
          </w:p>
        </w:tc>
      </w:tr>
      <w:tr>
        <w:trPr/>
        <w:tc>
          <w:tcPr>
            <w:tcW w:w="976" w:type="dxa"/>
            <w:tcBorders/>
            <w:vAlign w:val="center"/>
          </w:tcPr>
          <w:p>
            <w:pPr>
              <w:pStyle w:val="TableContents"/>
              <w:bidi w:val="0"/>
              <w:spacing w:before="0" w:after="283"/>
              <w:jc w:val="left"/>
              <w:rPr/>
            </w:pPr>
            <w:r>
              <w:rPr/>
              <w:t>8.1</w:t>
            </w:r>
          </w:p>
        </w:tc>
        <w:tc>
          <w:tcPr>
            <w:tcW w:w="1351" w:type="dxa"/>
            <w:tcBorders/>
            <w:vAlign w:val="center"/>
          </w:tcPr>
          <w:p>
            <w:pPr>
              <w:pStyle w:val="TableContents"/>
              <w:bidi w:val="0"/>
              <w:spacing w:before="0" w:after="283"/>
              <w:jc w:val="left"/>
              <w:rPr/>
            </w:pPr>
            <w:r>
              <w:rPr/>
              <w:t>Operational planning and control</w:t>
            </w:r>
          </w:p>
        </w:tc>
        <w:tc>
          <w:tcPr>
            <w:tcW w:w="1561" w:type="dxa"/>
            <w:tcBorders/>
            <w:vAlign w:val="center"/>
          </w:tcPr>
          <w:p>
            <w:pPr>
              <w:pStyle w:val="TableContents"/>
              <w:bidi w:val="0"/>
              <w:spacing w:before="0" w:after="283"/>
              <w:jc w:val="left"/>
              <w:rPr/>
            </w:pPr>
            <w:r>
              <w:rPr/>
              <w:t>Deployment procedure matches what is actually run</w:t>
            </w:r>
          </w:p>
        </w:tc>
        <w:tc>
          <w:tcPr>
            <w:tcW w:w="841" w:type="dxa"/>
            <w:tcBorders/>
            <w:vAlign w:val="center"/>
          </w:tcPr>
          <w:p>
            <w:pPr>
              <w:pStyle w:val="TableContents"/>
              <w:bidi w:val="0"/>
              <w:spacing w:before="0" w:after="283"/>
              <w:jc w:val="left"/>
              <w:rPr/>
            </w:pPr>
            <w:r>
              <w:rPr>
                <w:rStyle w:val="SourceText"/>
              </w:rPr>
              <w:t>__________</w:t>
            </w:r>
          </w:p>
        </w:tc>
      </w:tr>
      <w:tr>
        <w:trPr/>
        <w:tc>
          <w:tcPr>
            <w:tcW w:w="976" w:type="dxa"/>
            <w:tcBorders/>
            <w:vAlign w:val="center"/>
          </w:tcPr>
          <w:p>
            <w:pPr>
              <w:pStyle w:val="TableContents"/>
              <w:bidi w:val="0"/>
              <w:spacing w:before="0" w:after="283"/>
              <w:jc w:val="left"/>
              <w:rPr/>
            </w:pPr>
            <w:r>
              <w:rPr/>
              <w:t>8.2</w:t>
            </w:r>
          </w:p>
        </w:tc>
        <w:tc>
          <w:tcPr>
            <w:tcW w:w="1351" w:type="dxa"/>
            <w:tcBorders/>
            <w:vAlign w:val="center"/>
          </w:tcPr>
          <w:p>
            <w:pPr>
              <w:pStyle w:val="TableContents"/>
              <w:bidi w:val="0"/>
              <w:spacing w:before="0" w:after="283"/>
              <w:jc w:val="left"/>
              <w:rPr/>
            </w:pPr>
            <w:r>
              <w:rPr/>
              <w:t xml:space="preserve">Customer requirements — </w:t>
            </w:r>
            <w:r>
              <w:rPr>
                <w:rStyle w:val="SourceText"/>
              </w:rPr>
              <w:t>SOP-04</w:t>
            </w:r>
          </w:p>
        </w:tc>
        <w:tc>
          <w:tcPr>
            <w:tcW w:w="1561" w:type="dxa"/>
            <w:tcBorders/>
            <w:vAlign w:val="center"/>
          </w:tcPr>
          <w:p>
            <w:pPr>
              <w:pStyle w:val="TableContents"/>
              <w:bidi w:val="0"/>
              <w:spacing w:before="0" w:after="283"/>
              <w:jc w:val="left"/>
              <w:rPr/>
            </w:pPr>
            <w:r>
              <w:rPr/>
              <w:t xml:space="preserve">Requirements recorded and reviewed before commitment; </w:t>
            </w:r>
            <w:r>
              <w:rPr>
                <w:rStyle w:val="SourceText"/>
              </w:rPr>
              <w:t>FRM-08</w:t>
            </w:r>
            <w:r>
              <w:rPr/>
              <w:t xml:space="preserve"> records</w:t>
            </w:r>
          </w:p>
        </w:tc>
        <w:tc>
          <w:tcPr>
            <w:tcW w:w="841" w:type="dxa"/>
            <w:tcBorders/>
            <w:vAlign w:val="center"/>
          </w:tcPr>
          <w:p>
            <w:pPr>
              <w:pStyle w:val="TableContents"/>
              <w:bidi w:val="0"/>
              <w:spacing w:before="0" w:after="283"/>
              <w:jc w:val="left"/>
              <w:rPr/>
            </w:pPr>
            <w:r>
              <w:rPr>
                <w:rStyle w:val="SourceText"/>
              </w:rPr>
              <w:t>__________</w:t>
            </w:r>
          </w:p>
        </w:tc>
      </w:tr>
      <w:tr>
        <w:trPr/>
        <w:tc>
          <w:tcPr>
            <w:tcW w:w="976" w:type="dxa"/>
            <w:tcBorders/>
            <w:vAlign w:val="center"/>
          </w:tcPr>
          <w:p>
            <w:pPr>
              <w:pStyle w:val="TableContents"/>
              <w:bidi w:val="0"/>
              <w:spacing w:before="0" w:after="283"/>
              <w:jc w:val="left"/>
              <w:rPr/>
            </w:pPr>
            <w:r>
              <w:rPr/>
              <w:t>8.3</w:t>
            </w:r>
          </w:p>
        </w:tc>
        <w:tc>
          <w:tcPr>
            <w:tcW w:w="1351" w:type="dxa"/>
            <w:tcBorders/>
            <w:vAlign w:val="center"/>
          </w:tcPr>
          <w:p>
            <w:pPr>
              <w:pStyle w:val="TableContents"/>
              <w:bidi w:val="0"/>
              <w:spacing w:before="0" w:after="283"/>
              <w:jc w:val="left"/>
              <w:rPr/>
            </w:pPr>
            <w:r>
              <w:rPr/>
              <w:t xml:space="preserve">Design and development — </w:t>
            </w:r>
            <w:r>
              <w:rPr>
                <w:rStyle w:val="SourceText"/>
              </w:rPr>
              <w:t>SOP-05</w:t>
            </w:r>
          </w:p>
        </w:tc>
        <w:tc>
          <w:tcPr>
            <w:tcW w:w="1561" w:type="dxa"/>
            <w:tcBorders/>
            <w:vAlign w:val="center"/>
          </w:tcPr>
          <w:p>
            <w:pPr>
              <w:pStyle w:val="TableContents"/>
              <w:bidi w:val="0"/>
              <w:spacing w:before="0" w:after="283"/>
              <w:jc w:val="left"/>
              <w:rPr/>
            </w:pPr>
            <w:r>
              <w:rPr/>
              <w:t>Design reviews (</w:t>
            </w:r>
            <w:r>
              <w:rPr>
                <w:rStyle w:val="SourceText"/>
              </w:rPr>
              <w:t>FRM-01</w:t>
            </w:r>
            <w:r>
              <w:rPr/>
              <w:t>), verification and validation results, design changes</w:t>
            </w:r>
          </w:p>
        </w:tc>
        <w:tc>
          <w:tcPr>
            <w:tcW w:w="841" w:type="dxa"/>
            <w:tcBorders/>
            <w:vAlign w:val="center"/>
          </w:tcPr>
          <w:p>
            <w:pPr>
              <w:pStyle w:val="TableContents"/>
              <w:bidi w:val="0"/>
              <w:spacing w:before="0" w:after="283"/>
              <w:jc w:val="left"/>
              <w:rPr/>
            </w:pPr>
            <w:r>
              <w:rPr>
                <w:rStyle w:val="SourceText"/>
              </w:rPr>
              <w:t>__________</w:t>
            </w:r>
          </w:p>
        </w:tc>
      </w:tr>
      <w:tr>
        <w:trPr/>
        <w:tc>
          <w:tcPr>
            <w:tcW w:w="976" w:type="dxa"/>
            <w:tcBorders/>
            <w:vAlign w:val="center"/>
          </w:tcPr>
          <w:p>
            <w:pPr>
              <w:pStyle w:val="TableContents"/>
              <w:bidi w:val="0"/>
              <w:spacing w:before="0" w:after="283"/>
              <w:jc w:val="left"/>
              <w:rPr/>
            </w:pPr>
            <w:r>
              <w:rPr/>
              <w:t>8.4</w:t>
            </w:r>
          </w:p>
        </w:tc>
        <w:tc>
          <w:tcPr>
            <w:tcW w:w="1351" w:type="dxa"/>
            <w:tcBorders/>
            <w:vAlign w:val="center"/>
          </w:tcPr>
          <w:p>
            <w:pPr>
              <w:pStyle w:val="TableContents"/>
              <w:bidi w:val="0"/>
              <w:spacing w:before="0" w:after="283"/>
              <w:jc w:val="left"/>
              <w:rPr/>
            </w:pPr>
            <w:r>
              <w:rPr/>
              <w:t xml:space="preserve">Externally provided processes, products and services — </w:t>
            </w:r>
            <w:r>
              <w:rPr>
                <w:rStyle w:val="SourceText"/>
              </w:rPr>
              <w:t>SOP-09</w:t>
            </w:r>
            <w:r>
              <w:rPr/>
              <w:t xml:space="preserve">, </w:t>
            </w:r>
            <w:r>
              <w:rPr>
                <w:rStyle w:val="SourceText"/>
              </w:rPr>
              <w:t>REG-02</w:t>
            </w:r>
          </w:p>
        </w:tc>
        <w:tc>
          <w:tcPr>
            <w:tcW w:w="1561" w:type="dxa"/>
            <w:tcBorders/>
            <w:vAlign w:val="center"/>
          </w:tcPr>
          <w:p>
            <w:pPr>
              <w:pStyle w:val="TableContents"/>
              <w:bidi w:val="0"/>
              <w:spacing w:before="0" w:after="283"/>
              <w:jc w:val="left"/>
              <w:rPr/>
            </w:pPr>
            <w:r>
              <w:rPr>
                <w:rStyle w:val="SourceText"/>
              </w:rPr>
              <w:t>FRM-04</w:t>
            </w:r>
            <w:r>
              <w:rPr/>
              <w:t xml:space="preserve"> evaluations; licence obligations identified; pinned versions</w:t>
            </w:r>
          </w:p>
        </w:tc>
        <w:tc>
          <w:tcPr>
            <w:tcW w:w="841" w:type="dxa"/>
            <w:tcBorders/>
            <w:vAlign w:val="center"/>
          </w:tcPr>
          <w:p>
            <w:pPr>
              <w:pStyle w:val="TableContents"/>
              <w:bidi w:val="0"/>
              <w:spacing w:before="0" w:after="283"/>
              <w:jc w:val="left"/>
              <w:rPr/>
            </w:pPr>
            <w:r>
              <w:rPr>
                <w:rStyle w:val="SourceText"/>
              </w:rPr>
              <w:t>__________</w:t>
            </w:r>
          </w:p>
        </w:tc>
      </w:tr>
      <w:tr>
        <w:trPr/>
        <w:tc>
          <w:tcPr>
            <w:tcW w:w="976" w:type="dxa"/>
            <w:tcBorders/>
            <w:vAlign w:val="center"/>
          </w:tcPr>
          <w:p>
            <w:pPr>
              <w:pStyle w:val="TableContents"/>
              <w:bidi w:val="0"/>
              <w:spacing w:before="0" w:after="283"/>
              <w:jc w:val="left"/>
              <w:rPr/>
            </w:pPr>
            <w:r>
              <w:rPr/>
              <w:t>8.5</w:t>
            </w:r>
          </w:p>
        </w:tc>
        <w:tc>
          <w:tcPr>
            <w:tcW w:w="1351" w:type="dxa"/>
            <w:tcBorders/>
            <w:vAlign w:val="center"/>
          </w:tcPr>
          <w:p>
            <w:pPr>
              <w:pStyle w:val="TableContents"/>
              <w:bidi w:val="0"/>
              <w:spacing w:before="0" w:after="283"/>
              <w:jc w:val="left"/>
              <w:rPr/>
            </w:pPr>
            <w:r>
              <w:rPr/>
              <w:t xml:space="preserve">Production and service provision, change control, customer property — </w:t>
            </w:r>
            <w:r>
              <w:rPr>
                <w:rStyle w:val="SourceText"/>
              </w:rPr>
              <w:t>SOP-11</w:t>
            </w:r>
            <w:r>
              <w:rPr/>
              <w:t xml:space="preserve">, </w:t>
            </w:r>
            <w:r>
              <w:rPr>
                <w:rStyle w:val="SourceText"/>
              </w:rPr>
              <w:t>SOP-06</w:t>
            </w:r>
          </w:p>
        </w:tc>
        <w:tc>
          <w:tcPr>
            <w:tcW w:w="1561" w:type="dxa"/>
            <w:tcBorders/>
            <w:vAlign w:val="center"/>
          </w:tcPr>
          <w:p>
            <w:pPr>
              <w:pStyle w:val="TableContents"/>
              <w:bidi w:val="0"/>
              <w:spacing w:before="0" w:after="283"/>
              <w:jc w:val="left"/>
              <w:rPr/>
            </w:pPr>
            <w:r>
              <w:rPr>
                <w:rStyle w:val="SourceText"/>
              </w:rPr>
              <w:t>FRM-02</w:t>
            </w:r>
            <w:r>
              <w:rPr/>
              <w:t xml:space="preserve"> change requests; handling of customer data and documents</w:t>
            </w:r>
          </w:p>
        </w:tc>
        <w:tc>
          <w:tcPr>
            <w:tcW w:w="841" w:type="dxa"/>
            <w:tcBorders/>
            <w:vAlign w:val="center"/>
          </w:tcPr>
          <w:p>
            <w:pPr>
              <w:pStyle w:val="TableContents"/>
              <w:bidi w:val="0"/>
              <w:spacing w:before="0" w:after="283"/>
              <w:jc w:val="left"/>
              <w:rPr/>
            </w:pPr>
            <w:r>
              <w:rPr>
                <w:rStyle w:val="SourceText"/>
              </w:rPr>
              <w:t>__________</w:t>
            </w:r>
          </w:p>
        </w:tc>
      </w:tr>
      <w:tr>
        <w:trPr/>
        <w:tc>
          <w:tcPr>
            <w:tcW w:w="976" w:type="dxa"/>
            <w:tcBorders/>
            <w:vAlign w:val="center"/>
          </w:tcPr>
          <w:p>
            <w:pPr>
              <w:pStyle w:val="TableContents"/>
              <w:bidi w:val="0"/>
              <w:spacing w:before="0" w:after="283"/>
              <w:jc w:val="left"/>
              <w:rPr/>
            </w:pPr>
            <w:r>
              <w:rPr/>
              <w:t>8.6</w:t>
            </w:r>
          </w:p>
        </w:tc>
        <w:tc>
          <w:tcPr>
            <w:tcW w:w="1351" w:type="dxa"/>
            <w:tcBorders/>
            <w:vAlign w:val="center"/>
          </w:tcPr>
          <w:p>
            <w:pPr>
              <w:pStyle w:val="TableContents"/>
              <w:bidi w:val="0"/>
              <w:spacing w:before="0" w:after="283"/>
              <w:jc w:val="left"/>
              <w:rPr/>
            </w:pPr>
            <w:r>
              <w:rPr/>
              <w:t xml:space="preserve">Release of products and services — </w:t>
            </w:r>
            <w:r>
              <w:rPr>
                <w:rStyle w:val="SourceText"/>
              </w:rPr>
              <w:t>SOP-06</w:t>
            </w:r>
          </w:p>
        </w:tc>
        <w:tc>
          <w:tcPr>
            <w:tcW w:w="1561" w:type="dxa"/>
            <w:tcBorders/>
            <w:vAlign w:val="center"/>
          </w:tcPr>
          <w:p>
            <w:pPr>
              <w:pStyle w:val="TableContents"/>
              <w:bidi w:val="0"/>
              <w:spacing w:before="0" w:after="283"/>
              <w:jc w:val="left"/>
              <w:rPr/>
            </w:pPr>
            <w:r>
              <w:rPr>
                <w:rStyle w:val="SourceText"/>
              </w:rPr>
              <w:t>FRM-03</w:t>
            </w:r>
            <w:r>
              <w:rPr/>
              <w:t xml:space="preserve"> release records; evidence that verification actually passed before release</w:t>
            </w:r>
          </w:p>
        </w:tc>
        <w:tc>
          <w:tcPr>
            <w:tcW w:w="841" w:type="dxa"/>
            <w:tcBorders/>
            <w:vAlign w:val="center"/>
          </w:tcPr>
          <w:p>
            <w:pPr>
              <w:pStyle w:val="TableContents"/>
              <w:bidi w:val="0"/>
              <w:spacing w:before="0" w:after="283"/>
              <w:jc w:val="left"/>
              <w:rPr/>
            </w:pPr>
            <w:r>
              <w:rPr>
                <w:rStyle w:val="SourceText"/>
              </w:rPr>
              <w:t>__________</w:t>
            </w:r>
          </w:p>
        </w:tc>
      </w:tr>
      <w:tr>
        <w:trPr/>
        <w:tc>
          <w:tcPr>
            <w:tcW w:w="976" w:type="dxa"/>
            <w:tcBorders/>
            <w:vAlign w:val="center"/>
          </w:tcPr>
          <w:p>
            <w:pPr>
              <w:pStyle w:val="TableContents"/>
              <w:bidi w:val="0"/>
              <w:spacing w:before="0" w:after="283"/>
              <w:jc w:val="left"/>
              <w:rPr/>
            </w:pPr>
            <w:r>
              <w:rPr/>
              <w:t>8.7</w:t>
            </w:r>
          </w:p>
        </w:tc>
        <w:tc>
          <w:tcPr>
            <w:tcW w:w="1351" w:type="dxa"/>
            <w:tcBorders/>
            <w:vAlign w:val="center"/>
          </w:tcPr>
          <w:p>
            <w:pPr>
              <w:pStyle w:val="TableContents"/>
              <w:bidi w:val="0"/>
              <w:spacing w:before="0" w:after="283"/>
              <w:jc w:val="left"/>
              <w:rPr/>
            </w:pPr>
            <w:r>
              <w:rPr/>
              <w:t xml:space="preserve">Control of nonconforming outputs — </w:t>
            </w:r>
            <w:r>
              <w:rPr>
                <w:rStyle w:val="SourceText"/>
              </w:rPr>
              <w:t>SOP-14</w:t>
            </w:r>
            <w:r>
              <w:rPr/>
              <w:t xml:space="preserve"> §4–§5</w:t>
            </w:r>
          </w:p>
        </w:tc>
        <w:tc>
          <w:tcPr>
            <w:tcW w:w="1561" w:type="dxa"/>
            <w:tcBorders/>
            <w:vAlign w:val="center"/>
          </w:tcPr>
          <w:p>
            <w:pPr>
              <w:pStyle w:val="TableContents"/>
              <w:bidi w:val="0"/>
              <w:spacing w:before="0" w:after="283"/>
              <w:jc w:val="left"/>
              <w:rPr/>
            </w:pPr>
            <w:r>
              <w:rPr/>
              <w:t>Containment recorded; affected deployments identified</w:t>
            </w:r>
          </w:p>
        </w:tc>
        <w:tc>
          <w:tcPr>
            <w:tcW w:w="841" w:type="dxa"/>
            <w:tcBorders/>
            <w:vAlign w:val="center"/>
          </w:tcPr>
          <w:p>
            <w:pPr>
              <w:pStyle w:val="TableContents"/>
              <w:bidi w:val="0"/>
              <w:spacing w:before="0" w:after="283"/>
              <w:jc w:val="left"/>
              <w:rPr/>
            </w:pPr>
            <w:r>
              <w:rPr>
                <w:rStyle w:val="SourceText"/>
              </w:rPr>
              <w:t>__________</w:t>
            </w:r>
          </w:p>
        </w:tc>
      </w:tr>
      <w:tr>
        <w:trPr/>
        <w:tc>
          <w:tcPr>
            <w:tcW w:w="976" w:type="dxa"/>
            <w:tcBorders/>
            <w:vAlign w:val="center"/>
          </w:tcPr>
          <w:p>
            <w:pPr>
              <w:pStyle w:val="TableContents"/>
              <w:bidi w:val="0"/>
              <w:spacing w:before="0" w:after="283"/>
              <w:jc w:val="left"/>
              <w:rPr/>
            </w:pPr>
            <w:r>
              <w:rPr/>
              <w:t>9.1</w:t>
            </w:r>
          </w:p>
        </w:tc>
        <w:tc>
          <w:tcPr>
            <w:tcW w:w="1351" w:type="dxa"/>
            <w:tcBorders/>
            <w:vAlign w:val="center"/>
          </w:tcPr>
          <w:p>
            <w:pPr>
              <w:pStyle w:val="TableContents"/>
              <w:bidi w:val="0"/>
              <w:spacing w:before="0" w:after="283"/>
              <w:jc w:val="left"/>
              <w:rPr/>
            </w:pPr>
            <w:r>
              <w:rPr/>
              <w:t xml:space="preserve">Monitoring, measurement, analysis and evaluation — </w:t>
            </w:r>
            <w:r>
              <w:rPr>
                <w:rStyle w:val="SourceText"/>
              </w:rPr>
              <w:t>SOP-12</w:t>
            </w:r>
          </w:p>
        </w:tc>
        <w:tc>
          <w:tcPr>
            <w:tcW w:w="1561" w:type="dxa"/>
            <w:tcBorders/>
            <w:vAlign w:val="center"/>
          </w:tcPr>
          <w:p>
            <w:pPr>
              <w:pStyle w:val="TableContents"/>
              <w:bidi w:val="0"/>
              <w:spacing w:before="0" w:after="283"/>
              <w:jc w:val="left"/>
              <w:rPr/>
            </w:pPr>
            <w:r>
              <w:rPr/>
              <w:t>Golden-evaluation runs; unit-test runs; healthcheck coverage; what is done with the numbers</w:t>
            </w:r>
          </w:p>
        </w:tc>
        <w:tc>
          <w:tcPr>
            <w:tcW w:w="841" w:type="dxa"/>
            <w:tcBorders/>
            <w:vAlign w:val="center"/>
          </w:tcPr>
          <w:p>
            <w:pPr>
              <w:pStyle w:val="TableContents"/>
              <w:bidi w:val="0"/>
              <w:spacing w:before="0" w:after="283"/>
              <w:jc w:val="left"/>
              <w:rPr/>
            </w:pPr>
            <w:r>
              <w:rPr>
                <w:rStyle w:val="SourceText"/>
              </w:rPr>
              <w:t>__________</w:t>
            </w:r>
          </w:p>
        </w:tc>
      </w:tr>
      <w:tr>
        <w:trPr/>
        <w:tc>
          <w:tcPr>
            <w:tcW w:w="976" w:type="dxa"/>
            <w:tcBorders/>
            <w:vAlign w:val="center"/>
          </w:tcPr>
          <w:p>
            <w:pPr>
              <w:pStyle w:val="TableContents"/>
              <w:bidi w:val="0"/>
              <w:spacing w:before="0" w:after="283"/>
              <w:jc w:val="left"/>
              <w:rPr/>
            </w:pPr>
            <w:r>
              <w:rPr/>
              <w:t>9.2</w:t>
            </w:r>
          </w:p>
        </w:tc>
        <w:tc>
          <w:tcPr>
            <w:tcW w:w="1351" w:type="dxa"/>
            <w:tcBorders/>
            <w:vAlign w:val="center"/>
          </w:tcPr>
          <w:p>
            <w:pPr>
              <w:pStyle w:val="TableContents"/>
              <w:bidi w:val="0"/>
              <w:spacing w:before="0" w:after="283"/>
              <w:jc w:val="left"/>
              <w:rPr/>
            </w:pPr>
            <w:r>
              <w:rPr/>
              <w:t>Internal audit — this procedure</w:t>
            </w:r>
          </w:p>
        </w:tc>
        <w:tc>
          <w:tcPr>
            <w:tcW w:w="1561" w:type="dxa"/>
            <w:tcBorders/>
            <w:vAlign w:val="center"/>
          </w:tcPr>
          <w:p>
            <w:pPr>
              <w:pStyle w:val="TableContents"/>
              <w:bidi w:val="0"/>
              <w:spacing w:before="0" w:after="283"/>
              <w:jc w:val="left"/>
              <w:rPr/>
            </w:pPr>
            <w:r>
              <w:rPr/>
              <w:t>Programme exists and has been followed; auditor competence and independence</w:t>
            </w:r>
          </w:p>
        </w:tc>
        <w:tc>
          <w:tcPr>
            <w:tcW w:w="841" w:type="dxa"/>
            <w:tcBorders/>
            <w:vAlign w:val="center"/>
          </w:tcPr>
          <w:p>
            <w:pPr>
              <w:pStyle w:val="TableContents"/>
              <w:bidi w:val="0"/>
              <w:spacing w:before="0" w:after="283"/>
              <w:jc w:val="left"/>
              <w:rPr/>
            </w:pPr>
            <w:r>
              <w:rPr>
                <w:rStyle w:val="SourceText"/>
              </w:rPr>
              <w:t>__________</w:t>
            </w:r>
          </w:p>
        </w:tc>
      </w:tr>
      <w:tr>
        <w:trPr/>
        <w:tc>
          <w:tcPr>
            <w:tcW w:w="976" w:type="dxa"/>
            <w:tcBorders/>
            <w:vAlign w:val="center"/>
          </w:tcPr>
          <w:p>
            <w:pPr>
              <w:pStyle w:val="TableContents"/>
              <w:bidi w:val="0"/>
              <w:spacing w:before="0" w:after="283"/>
              <w:jc w:val="left"/>
              <w:rPr/>
            </w:pPr>
            <w:r>
              <w:rPr/>
              <w:t>9.3</w:t>
            </w:r>
          </w:p>
        </w:tc>
        <w:tc>
          <w:tcPr>
            <w:tcW w:w="1351" w:type="dxa"/>
            <w:tcBorders/>
            <w:vAlign w:val="center"/>
          </w:tcPr>
          <w:p>
            <w:pPr>
              <w:pStyle w:val="TableContents"/>
              <w:bidi w:val="0"/>
              <w:spacing w:before="0" w:after="283"/>
              <w:jc w:val="left"/>
              <w:rPr/>
            </w:pPr>
            <w:r>
              <w:rPr/>
              <w:t xml:space="preserve">Management review — </w:t>
            </w:r>
            <w:r>
              <w:rPr>
                <w:rStyle w:val="SourceText"/>
              </w:rPr>
              <w:t>SOP-15</w:t>
            </w:r>
          </w:p>
        </w:tc>
        <w:tc>
          <w:tcPr>
            <w:tcW w:w="1561" w:type="dxa"/>
            <w:tcBorders/>
            <w:vAlign w:val="center"/>
          </w:tcPr>
          <w:p>
            <w:pPr>
              <w:pStyle w:val="TableContents"/>
              <w:bidi w:val="0"/>
              <w:spacing w:before="0" w:after="283"/>
              <w:jc w:val="left"/>
              <w:rPr/>
            </w:pPr>
            <w:r>
              <w:rPr/>
              <w:t>Minutes exist, cover every 9.3.2 input, and produce 9.3.3 outputs</w:t>
            </w:r>
          </w:p>
        </w:tc>
        <w:tc>
          <w:tcPr>
            <w:tcW w:w="841" w:type="dxa"/>
            <w:tcBorders/>
            <w:vAlign w:val="center"/>
          </w:tcPr>
          <w:p>
            <w:pPr>
              <w:pStyle w:val="TableContents"/>
              <w:bidi w:val="0"/>
              <w:spacing w:before="0" w:after="283"/>
              <w:jc w:val="left"/>
              <w:rPr/>
            </w:pPr>
            <w:r>
              <w:rPr>
                <w:rStyle w:val="SourceText"/>
              </w:rPr>
              <w:t>__________</w:t>
            </w:r>
          </w:p>
        </w:tc>
      </w:tr>
      <w:tr>
        <w:trPr/>
        <w:tc>
          <w:tcPr>
            <w:tcW w:w="976" w:type="dxa"/>
            <w:tcBorders/>
            <w:vAlign w:val="center"/>
          </w:tcPr>
          <w:p>
            <w:pPr>
              <w:pStyle w:val="TableContents"/>
              <w:bidi w:val="0"/>
              <w:spacing w:before="0" w:after="283"/>
              <w:jc w:val="left"/>
              <w:rPr/>
            </w:pPr>
            <w:r>
              <w:rPr/>
              <w:t>10.1, 10.2, 10.3</w:t>
            </w:r>
          </w:p>
        </w:tc>
        <w:tc>
          <w:tcPr>
            <w:tcW w:w="1351" w:type="dxa"/>
            <w:tcBorders/>
            <w:vAlign w:val="center"/>
          </w:tcPr>
          <w:p>
            <w:pPr>
              <w:pStyle w:val="TableContents"/>
              <w:bidi w:val="0"/>
              <w:spacing w:before="0" w:after="283"/>
              <w:jc w:val="left"/>
              <w:rPr/>
            </w:pPr>
            <w:r>
              <w:rPr/>
              <w:t xml:space="preserve">Improvement, nonconformity and corrective action — </w:t>
            </w:r>
            <w:r>
              <w:rPr>
                <w:rStyle w:val="SourceText"/>
              </w:rPr>
              <w:t>SOP-14</w:t>
            </w:r>
            <w:r>
              <w:rPr/>
              <w:t xml:space="preserve">, </w:t>
            </w:r>
            <w:r>
              <w:rPr>
                <w:rStyle w:val="SourceText"/>
              </w:rPr>
              <w:t>REG-04</w:t>
            </w:r>
          </w:p>
        </w:tc>
        <w:tc>
          <w:tcPr>
            <w:tcW w:w="1561" w:type="dxa"/>
            <w:tcBorders/>
            <w:vAlign w:val="center"/>
          </w:tcPr>
          <w:p>
            <w:pPr>
              <w:pStyle w:val="TableContents"/>
              <w:bidi w:val="0"/>
              <w:spacing w:before="0" w:after="283"/>
              <w:jc w:val="left"/>
              <w:rPr/>
            </w:pPr>
            <w:r>
              <w:rPr/>
              <w:t>Effectiveness verification present and evidenced on closed records</w:t>
            </w:r>
          </w:p>
        </w:tc>
        <w:tc>
          <w:tcPr>
            <w:tcW w:w="841" w:type="dxa"/>
            <w:tcBorders/>
            <w:vAlign w:val="center"/>
          </w:tcPr>
          <w:p>
            <w:pPr>
              <w:pStyle w:val="TableContents"/>
              <w:bidi w:val="0"/>
              <w:spacing w:before="0" w:after="283"/>
              <w:jc w:val="left"/>
              <w:rPr/>
            </w:pPr>
            <w:r>
              <w:rPr>
                <w:rStyle w:val="SourceText"/>
              </w:rPr>
              <w:t>__________</w:t>
            </w:r>
          </w:p>
        </w:tc>
      </w:tr>
    </w:tbl>
    <w:p>
      <w:pPr>
        <w:pStyle w:val="BodyText"/>
        <w:bidi w:val="0"/>
        <w:jc w:val="left"/>
        <w:rPr/>
      </w:pPr>
      <w:r>
        <w:rPr/>
        <w:t>Clause 8.5.1 f (validation of processes where output cannot be verified by subsequent monitoring) and clause 7.1.5.2 (measurement traceability) are examined for applicability at each audit rather than assumed inapplicable.</w:t>
      </w:r>
    </w:p>
    <w:p>
      <w:pPr>
        <w:pStyle w:val="Heading2"/>
        <w:bidi w:val="0"/>
        <w:jc w:val="left"/>
        <w:rPr/>
      </w:pPr>
      <w:r>
        <w:rPr/>
        <w:t>5. Auditor selection, competence and impartiality (9.2.2 c)</w:t>
      </w:r>
    </w:p>
    <w:p>
      <w:pPr>
        <w:pStyle w:val="BodyText"/>
        <w:bidi w:val="0"/>
        <w:jc w:val="left"/>
        <w:rPr/>
      </w:pPr>
      <w:r>
        <w:rPr>
          <w:rStyle w:val="Strong"/>
        </w:rPr>
        <w:t>The requirement.</w:t>
      </w:r>
      <w:r>
        <w:rPr/>
        <w:t xml:space="preserve"> ISO 9001:2015 9.2.2 c requires the organisation to select auditors and conduct audits in a way that ensures objectivity and the impartiality of the audit process, and states that </w:t>
      </w:r>
      <w:r>
        <w:rPr>
          <w:rStyle w:val="Strong"/>
        </w:rPr>
        <w:t>auditors shall not audit their own work</w:t>
      </w:r>
      <w:r>
        <w:rPr/>
        <w:t>.</w:t>
      </w:r>
    </w:p>
    <w:p>
      <w:pPr>
        <w:pStyle w:val="BodyText"/>
        <w:bidi w:val="0"/>
        <w:jc w:val="left"/>
        <w:rPr/>
      </w:pPr>
      <w:r>
        <w:rPr>
          <w:rStyle w:val="Strong"/>
        </w:rPr>
        <w:t>The position at Ajace AI.</w:t>
      </w:r>
      <w:r>
        <w:rPr/>
        <w:t xml:space="preserve"> The organisation currently consists of one person, who writes the code, operates the deployment, owns every QMS procedure and would be the only available auditor. </w:t>
      </w:r>
      <w:r>
        <w:rPr>
          <w:rStyle w:val="Strong"/>
        </w:rPr>
        <w:t>It is therefore not possible to satisfy 9.2.2 c internally.</w:t>
      </w:r>
      <w:r>
        <w:rPr/>
        <w:t xml:space="preserve"> This procedure does not attempt to disguise that by redefining independence.</w:t>
      </w:r>
    </w:p>
    <w:p>
      <w:pPr>
        <w:pStyle w:val="BodyText"/>
        <w:bidi w:val="0"/>
        <w:jc w:val="left"/>
        <w:rPr/>
      </w:pPr>
      <w:r>
        <w:rPr>
          <w:rStyle w:val="Strong"/>
        </w:rPr>
        <w:t>Competence criteria</w:t>
      </w:r>
      <w:r>
        <w:rPr/>
        <w:t xml:space="preserve"> for whoever conducts the audit:</w:t>
      </w:r>
    </w:p>
    <w:tbl>
      <w:tblPr>
        <w:tblW w:w="4729" w:type="dxa"/>
        <w:jc w:val="left"/>
        <w:tblInd w:w="0" w:type="dxa"/>
        <w:tblLayout w:type="fixed"/>
        <w:tblCellMar>
          <w:top w:w="28" w:type="dxa"/>
          <w:left w:w="28" w:type="dxa"/>
          <w:bottom w:w="28" w:type="dxa"/>
          <w:right w:w="28" w:type="dxa"/>
        </w:tblCellMar>
      </w:tblPr>
      <w:tblGrid>
        <w:gridCol w:w="1469"/>
        <w:gridCol w:w="3260"/>
      </w:tblGrid>
      <w:tr>
        <w:trPr>
          <w:tblHeader w:val="true"/>
        </w:trPr>
        <w:tc>
          <w:tcPr>
            <w:tcW w:w="1469" w:type="dxa"/>
            <w:tcBorders/>
            <w:vAlign w:val="center"/>
          </w:tcPr>
          <w:p>
            <w:pPr>
              <w:pStyle w:val="TableHeading"/>
              <w:suppressLineNumbers/>
              <w:shd w:fill="1F3A5F" w:val="clear"/>
              <w:bidi w:val="0"/>
              <w:spacing w:before="0" w:after="283"/>
              <w:jc w:val="center"/>
              <w:rPr/>
            </w:pPr>
            <w:r>
              <w:rPr/>
              <w:t>Criterion</w:t>
            </w:r>
          </w:p>
        </w:tc>
        <w:tc>
          <w:tcPr>
            <w:tcW w:w="3260" w:type="dxa"/>
            <w:tcBorders/>
            <w:vAlign w:val="center"/>
          </w:tcPr>
          <w:p>
            <w:pPr>
              <w:pStyle w:val="TableHeading"/>
              <w:suppressLineNumbers/>
              <w:shd w:fill="1F3A5F" w:val="clear"/>
              <w:bidi w:val="0"/>
              <w:spacing w:before="0" w:after="283"/>
              <w:jc w:val="center"/>
              <w:rPr/>
            </w:pPr>
            <w:r>
              <w:rPr/>
              <w:t>Minimum</w:t>
            </w:r>
          </w:p>
        </w:tc>
      </w:tr>
      <w:tr>
        <w:trPr/>
        <w:tc>
          <w:tcPr>
            <w:tcW w:w="1469" w:type="dxa"/>
            <w:tcBorders/>
            <w:vAlign w:val="center"/>
          </w:tcPr>
          <w:p>
            <w:pPr>
              <w:pStyle w:val="TableContents"/>
              <w:bidi w:val="0"/>
              <w:spacing w:before="0" w:after="283"/>
              <w:jc w:val="left"/>
              <w:rPr/>
            </w:pPr>
            <w:r>
              <w:rPr/>
              <w:t>Knowledge of ISO 9001:2015</w:t>
            </w:r>
          </w:p>
        </w:tc>
        <w:tc>
          <w:tcPr>
            <w:tcW w:w="3260" w:type="dxa"/>
            <w:tcBorders/>
            <w:vAlign w:val="center"/>
          </w:tcPr>
          <w:p>
            <w:pPr>
              <w:pStyle w:val="TableContents"/>
              <w:bidi w:val="0"/>
              <w:spacing w:before="0" w:after="283"/>
              <w:jc w:val="left"/>
              <w:rPr/>
            </w:pPr>
            <w:r>
              <w:rPr/>
              <w:t>Able to audit against clause text, not against a generic checklist</w:t>
            </w:r>
          </w:p>
        </w:tc>
      </w:tr>
      <w:tr>
        <w:trPr/>
        <w:tc>
          <w:tcPr>
            <w:tcW w:w="1469" w:type="dxa"/>
            <w:tcBorders/>
            <w:vAlign w:val="center"/>
          </w:tcPr>
          <w:p>
            <w:pPr>
              <w:pStyle w:val="TableContents"/>
              <w:bidi w:val="0"/>
              <w:spacing w:before="0" w:after="283"/>
              <w:jc w:val="left"/>
              <w:rPr/>
            </w:pPr>
            <w:r>
              <w:rPr/>
              <w:t>Auditing method</w:t>
            </w:r>
          </w:p>
        </w:tc>
        <w:tc>
          <w:tcPr>
            <w:tcW w:w="3260" w:type="dxa"/>
            <w:tcBorders/>
            <w:vAlign w:val="center"/>
          </w:tcPr>
          <w:p>
            <w:pPr>
              <w:pStyle w:val="TableContents"/>
              <w:bidi w:val="0"/>
              <w:spacing w:before="0" w:after="283"/>
              <w:jc w:val="left"/>
              <w:rPr/>
            </w:pPr>
            <w:r>
              <w:rPr/>
              <w:t>Trained or demonstrably experienced in evidence-based auditing and finding classification</w:t>
            </w:r>
          </w:p>
        </w:tc>
      </w:tr>
      <w:tr>
        <w:trPr/>
        <w:tc>
          <w:tcPr>
            <w:tcW w:w="1469" w:type="dxa"/>
            <w:tcBorders/>
            <w:vAlign w:val="center"/>
          </w:tcPr>
          <w:p>
            <w:pPr>
              <w:pStyle w:val="TableContents"/>
              <w:bidi w:val="0"/>
              <w:spacing w:before="0" w:after="283"/>
              <w:jc w:val="left"/>
              <w:rPr/>
            </w:pPr>
            <w:r>
              <w:rPr/>
              <w:t>Technical understanding</w:t>
            </w:r>
          </w:p>
        </w:tc>
        <w:tc>
          <w:tcPr>
            <w:tcW w:w="3260" w:type="dxa"/>
            <w:tcBorders/>
            <w:vAlign w:val="center"/>
          </w:tcPr>
          <w:p>
            <w:pPr>
              <w:pStyle w:val="TableContents"/>
              <w:bidi w:val="0"/>
              <w:spacing w:before="0" w:after="283"/>
              <w:jc w:val="left"/>
              <w:rPr/>
            </w:pPr>
            <w:r>
              <w:rPr/>
              <w:t>Sufficient to read a Git history, a Dockerfile, a test suite and an evaluation report, or willing to be walked through them and to challenge what is shown</w:t>
            </w:r>
          </w:p>
        </w:tc>
      </w:tr>
      <w:tr>
        <w:trPr/>
        <w:tc>
          <w:tcPr>
            <w:tcW w:w="1469" w:type="dxa"/>
            <w:tcBorders/>
            <w:vAlign w:val="center"/>
          </w:tcPr>
          <w:p>
            <w:pPr>
              <w:pStyle w:val="TableContents"/>
              <w:bidi w:val="0"/>
              <w:spacing w:before="0" w:after="283"/>
              <w:jc w:val="left"/>
              <w:rPr/>
            </w:pPr>
            <w:r>
              <w:rPr/>
              <w:t>Independence</w:t>
            </w:r>
          </w:p>
        </w:tc>
        <w:tc>
          <w:tcPr>
            <w:tcW w:w="3260" w:type="dxa"/>
            <w:tcBorders/>
            <w:vAlign w:val="center"/>
          </w:tcPr>
          <w:p>
            <w:pPr>
              <w:pStyle w:val="TableContents"/>
              <w:bidi w:val="0"/>
              <w:spacing w:before="0" w:after="283"/>
              <w:jc w:val="left"/>
              <w:rPr/>
            </w:pPr>
            <w:r>
              <w:rPr/>
              <w:t>Not the author or operator of the work being audited, and no interest in the outcome</w:t>
            </w:r>
          </w:p>
        </w:tc>
      </w:tr>
    </w:tbl>
    <w:p>
      <w:pPr>
        <w:pStyle w:val="BodyText"/>
        <w:bidi w:val="0"/>
        <w:jc w:val="left"/>
        <w:rPr/>
      </w:pPr>
      <w:r>
        <w:rPr>
          <w:rStyle w:val="Strong"/>
        </w:rPr>
        <w:t>Options for meeting the impartiality requirement</w:t>
      </w:r>
      <w:r>
        <w:rPr/>
        <w:t>, in order of preference:</w:t>
      </w:r>
    </w:p>
    <w:tbl>
      <w:tblPr>
        <w:tblW w:w="4729" w:type="dxa"/>
        <w:jc w:val="left"/>
        <w:tblInd w:w="0" w:type="dxa"/>
        <w:tblLayout w:type="fixed"/>
        <w:tblCellMar>
          <w:top w:w="28" w:type="dxa"/>
          <w:left w:w="28" w:type="dxa"/>
          <w:bottom w:w="28" w:type="dxa"/>
          <w:right w:w="28" w:type="dxa"/>
        </w:tblCellMar>
      </w:tblPr>
      <w:tblGrid>
        <w:gridCol w:w="1480"/>
        <w:gridCol w:w="2008"/>
        <w:gridCol w:w="1241"/>
      </w:tblGrid>
      <w:tr>
        <w:trPr>
          <w:tblHeader w:val="true"/>
        </w:trPr>
        <w:tc>
          <w:tcPr>
            <w:tcW w:w="1480" w:type="dxa"/>
            <w:tcBorders/>
            <w:vAlign w:val="center"/>
          </w:tcPr>
          <w:p>
            <w:pPr>
              <w:pStyle w:val="TableHeading"/>
              <w:suppressLineNumbers/>
              <w:shd w:fill="1F3A5F" w:val="clear"/>
              <w:bidi w:val="0"/>
              <w:spacing w:before="0" w:after="283"/>
              <w:jc w:val="center"/>
              <w:rPr/>
            </w:pPr>
            <w:r>
              <w:rPr/>
              <w:t>Option</w:t>
            </w:r>
          </w:p>
        </w:tc>
        <w:tc>
          <w:tcPr>
            <w:tcW w:w="2008" w:type="dxa"/>
            <w:tcBorders/>
            <w:vAlign w:val="center"/>
          </w:tcPr>
          <w:p>
            <w:pPr>
              <w:pStyle w:val="TableHeading"/>
              <w:suppressLineNumbers/>
              <w:shd w:fill="1F3A5F" w:val="clear"/>
              <w:bidi w:val="0"/>
              <w:spacing w:before="0" w:after="283"/>
              <w:jc w:val="center"/>
              <w:rPr/>
            </w:pPr>
            <w:r>
              <w:rPr/>
              <w:t>Description</w:t>
            </w:r>
          </w:p>
        </w:tc>
        <w:tc>
          <w:tcPr>
            <w:tcW w:w="1241" w:type="dxa"/>
            <w:tcBorders/>
            <w:vAlign w:val="center"/>
          </w:tcPr>
          <w:p>
            <w:pPr>
              <w:pStyle w:val="TableHeading"/>
              <w:suppressLineNumbers/>
              <w:shd w:fill="1F3A5F" w:val="clear"/>
              <w:bidi w:val="0"/>
              <w:spacing w:before="0" w:after="283"/>
              <w:jc w:val="center"/>
              <w:rPr/>
            </w:pPr>
            <w:r>
              <w:rPr/>
              <w:t>Status</w:t>
            </w:r>
          </w:p>
        </w:tc>
      </w:tr>
      <w:tr>
        <w:trPr/>
        <w:tc>
          <w:tcPr>
            <w:tcW w:w="1480" w:type="dxa"/>
            <w:tcBorders/>
            <w:vAlign w:val="center"/>
          </w:tcPr>
          <w:p>
            <w:pPr>
              <w:pStyle w:val="TableContents"/>
              <w:bidi w:val="0"/>
              <w:spacing w:before="0" w:after="283"/>
              <w:jc w:val="left"/>
              <w:rPr/>
            </w:pPr>
            <w:r>
              <w:rPr/>
              <w:t>(a) External / contract auditor</w:t>
            </w:r>
          </w:p>
        </w:tc>
        <w:tc>
          <w:tcPr>
            <w:tcW w:w="2008" w:type="dxa"/>
            <w:tcBorders/>
            <w:vAlign w:val="center"/>
          </w:tcPr>
          <w:p>
            <w:pPr>
              <w:pStyle w:val="TableContents"/>
              <w:bidi w:val="0"/>
              <w:spacing w:before="0" w:after="283"/>
              <w:jc w:val="left"/>
              <w:rPr/>
            </w:pPr>
            <w:r>
              <w:rPr/>
              <w:t>Engage a competent independent auditor or consultancy to conduct the annual internal audit against this programme. This is the only option that fully satisfies 9.2.2 c while the organisation has one person.</w:t>
            </w:r>
          </w:p>
        </w:tc>
        <w:tc>
          <w:tcPr>
            <w:tcW w:w="1241" w:type="dxa"/>
            <w:tcBorders/>
            <w:vAlign w:val="center"/>
          </w:tcPr>
          <w:p>
            <w:pPr>
              <w:pStyle w:val="TableContents"/>
              <w:bidi w:val="0"/>
              <w:spacing w:before="0" w:after="283"/>
              <w:jc w:val="left"/>
              <w:rPr/>
            </w:pPr>
            <w:r>
              <w:rPr>
                <w:rStyle w:val="Strong"/>
              </w:rPr>
              <w:t>Preferred. Not yet engaged.</w:t>
            </w:r>
          </w:p>
        </w:tc>
      </w:tr>
      <w:tr>
        <w:trPr/>
        <w:tc>
          <w:tcPr>
            <w:tcW w:w="1480" w:type="dxa"/>
            <w:tcBorders/>
            <w:vAlign w:val="center"/>
          </w:tcPr>
          <w:p>
            <w:pPr>
              <w:pStyle w:val="TableContents"/>
              <w:bidi w:val="0"/>
              <w:spacing w:before="0" w:after="283"/>
              <w:jc w:val="left"/>
              <w:rPr/>
            </w:pPr>
            <w:r>
              <w:rPr/>
              <w:t>(b) Competent second person</w:t>
            </w:r>
          </w:p>
        </w:tc>
        <w:tc>
          <w:tcPr>
            <w:tcW w:w="2008" w:type="dxa"/>
            <w:tcBorders/>
            <w:vAlign w:val="center"/>
          </w:tcPr>
          <w:p>
            <w:pPr>
              <w:pStyle w:val="TableContents"/>
              <w:bidi w:val="0"/>
              <w:spacing w:before="0" w:after="283"/>
              <w:jc w:val="left"/>
              <w:rPr/>
            </w:pPr>
            <w:r>
              <w:rPr/>
              <w:t>Once Ajace AI has a second competent person, allocate audits so that neither person audits work they performed. This satisfies 9.2.2 c for the parts they did not perform, and does not satisfy it for the parts they did — so the allocation must be recorded.</w:t>
            </w:r>
          </w:p>
        </w:tc>
        <w:tc>
          <w:tcPr>
            <w:tcW w:w="1241" w:type="dxa"/>
            <w:tcBorders/>
            <w:vAlign w:val="center"/>
          </w:tcPr>
          <w:p>
            <w:pPr>
              <w:pStyle w:val="TableContents"/>
              <w:bidi w:val="0"/>
              <w:spacing w:before="0" w:after="283"/>
              <w:jc w:val="left"/>
              <w:rPr/>
            </w:pPr>
            <w:r>
              <w:rPr/>
              <w:t>Not available; the organisation has one person.</w:t>
            </w:r>
          </w:p>
        </w:tc>
      </w:tr>
      <w:tr>
        <w:trPr/>
        <w:tc>
          <w:tcPr>
            <w:tcW w:w="1480" w:type="dxa"/>
            <w:tcBorders/>
            <w:vAlign w:val="center"/>
          </w:tcPr>
          <w:p>
            <w:pPr>
              <w:pStyle w:val="TableContents"/>
              <w:bidi w:val="0"/>
              <w:spacing w:before="0" w:after="283"/>
              <w:jc w:val="left"/>
              <w:rPr/>
            </w:pPr>
            <w:r>
              <w:rPr/>
              <w:t>(c) Interim structured self-assessment</w:t>
            </w:r>
          </w:p>
        </w:tc>
        <w:tc>
          <w:tcPr>
            <w:tcW w:w="2008" w:type="dxa"/>
            <w:tcBorders/>
            <w:vAlign w:val="center"/>
          </w:tcPr>
          <w:p>
            <w:pPr>
              <w:pStyle w:val="TableContents"/>
              <w:bidi w:val="0"/>
              <w:spacing w:before="0" w:after="283"/>
              <w:jc w:val="left"/>
              <w:rPr/>
            </w:pPr>
            <w:r>
              <w:rPr/>
              <w:t xml:space="preserve">The Managing Director works through the checklist in </w:t>
            </w:r>
            <w:r>
              <w:rPr>
                <w:rStyle w:val="SourceText"/>
              </w:rPr>
              <w:t>forms/FRM-06_Internal_Audit_Report.md</w:t>
            </w:r>
            <w:r>
              <w:rPr/>
              <w:t xml:space="preserve"> against objective evidence — file paths, commit SHAs, test and evaluation output — recording the evidence examined for every clause, including where the answer is "no evidence found".</w:t>
            </w:r>
          </w:p>
        </w:tc>
        <w:tc>
          <w:tcPr>
            <w:tcW w:w="1241" w:type="dxa"/>
            <w:tcBorders/>
            <w:vAlign w:val="center"/>
          </w:tcPr>
          <w:p>
            <w:pPr>
              <w:pStyle w:val="TableContents"/>
              <w:bidi w:val="0"/>
              <w:spacing w:before="0" w:after="283"/>
              <w:jc w:val="left"/>
              <w:rPr/>
            </w:pPr>
            <w:r>
              <w:rPr/>
              <w:t xml:space="preserve">Available now. </w:t>
            </w:r>
            <w:r>
              <w:rPr>
                <w:rStyle w:val="Strong"/>
              </w:rPr>
              <w:t>Does not satisfy 9.2.2 c.</w:t>
            </w:r>
          </w:p>
        </w:tc>
      </w:tr>
    </w:tbl>
    <w:p>
      <w:pPr>
        <w:pStyle w:val="BodyText"/>
        <w:bidi w:val="0"/>
        <w:jc w:val="left"/>
        <w:rPr/>
      </w:pPr>
      <w:r>
        <w:rPr>
          <w:rStyle w:val="Strong"/>
        </w:rPr>
        <w:t>Option (c) is explicitly not conformant.</w:t>
      </w:r>
      <w:r>
        <w:rPr/>
        <w:t xml:space="preserve"> A self-assessment is a useful management tool and it produces real findings, but it is not an internal audit within the meaning of 9.2.2 c and must never be reported as one. Where a self-assessment is performed:</w:t>
      </w:r>
    </w:p>
    <w:p>
      <w:pPr>
        <w:pStyle w:val="BodyText"/>
        <w:numPr>
          <w:ilvl w:val="0"/>
          <w:numId w:val="1"/>
        </w:numPr>
        <w:tabs>
          <w:tab w:val="clear" w:pos="1134"/>
          <w:tab w:val="left" w:pos="709" w:leader="none"/>
        </w:tabs>
        <w:bidi w:val="0"/>
        <w:spacing w:before="0" w:after="0"/>
        <w:ind w:hanging="283" w:left="709"/>
        <w:jc w:val="left"/>
        <w:rPr/>
      </w:pPr>
      <w:r>
        <w:rPr/>
        <w:t xml:space="preserve">The report is titled </w:t>
      </w:r>
      <w:r>
        <w:rPr>
          <w:rStyle w:val="Strong"/>
        </w:rPr>
        <w:t>Self-assessment</w:t>
      </w:r>
      <w:r>
        <w:rPr/>
        <w:t xml:space="preserve">, not </w:t>
      </w:r>
      <w:r>
        <w:rPr>
          <w:rStyle w:val="Emphasis"/>
        </w:rPr>
        <w:t>Internal audit</w:t>
      </w:r>
      <w:r>
        <w:rPr/>
        <w:t xml:space="preserve">, and the independence statement in </w:t>
      </w:r>
      <w:r>
        <w:rPr>
          <w:rStyle w:val="SourceText"/>
        </w:rPr>
        <w:t>FRM-06</w:t>
      </w:r>
      <w:r>
        <w:rPr/>
        <w:t xml:space="preserve"> records plainly that the auditor audited their own work. </w:t>
      </w:r>
    </w:p>
    <w:p>
      <w:pPr>
        <w:pStyle w:val="BodyText"/>
        <w:numPr>
          <w:ilvl w:val="0"/>
          <w:numId w:val="1"/>
        </w:numPr>
        <w:tabs>
          <w:tab w:val="clear" w:pos="1134"/>
          <w:tab w:val="left" w:pos="709" w:leader="none"/>
        </w:tabs>
        <w:bidi w:val="0"/>
        <w:spacing w:before="0" w:after="0"/>
        <w:ind w:hanging="283" w:left="709"/>
        <w:jc w:val="left"/>
        <w:rPr/>
      </w:pPr>
      <w:r>
        <w:rPr/>
        <w:t xml:space="preserve">The absence of an independent internal audit is itself raised and maintained as an </w:t>
      </w:r>
      <w:r>
        <w:rPr>
          <w:rStyle w:val="Strong"/>
        </w:rPr>
        <w:t>open nonconformity of the QMS</w:t>
      </w:r>
      <w:r>
        <w:rPr/>
        <w:t xml:space="preserve"> in </w:t>
      </w:r>
      <w:r>
        <w:rPr>
          <w:rStyle w:val="SourceText"/>
        </w:rPr>
        <w:t>registers/REG-04_Nonconformity_and_CAPA_Log.md</w:t>
      </w:r>
      <w:r>
        <w:rPr/>
        <w:t xml:space="preserve">, against clause 9.2.2 c, and remains open until option (a) or (b) is delivered. </w:t>
      </w:r>
    </w:p>
    <w:p>
      <w:pPr>
        <w:pStyle w:val="BodyText"/>
        <w:numPr>
          <w:ilvl w:val="0"/>
          <w:numId w:val="1"/>
        </w:numPr>
        <w:tabs>
          <w:tab w:val="clear" w:pos="1134"/>
          <w:tab w:val="left" w:pos="709" w:leader="none"/>
        </w:tabs>
        <w:bidi w:val="0"/>
        <w:ind w:hanging="283" w:left="709"/>
        <w:jc w:val="left"/>
        <w:rPr/>
      </w:pPr>
      <w:r>
        <w:rPr/>
        <w:t>That open nonconformity is a standing item at every management review (</w:t>
      </w:r>
      <w:r>
        <w:rPr>
          <w:rStyle w:val="SourceText"/>
        </w:rPr>
        <w:t>SOP-15</w:t>
      </w:r>
      <w:r>
        <w:rPr/>
        <w:t xml:space="preserve"> §5.7). </w:t>
      </w:r>
    </w:p>
    <w:p>
      <w:pPr>
        <w:pStyle w:val="Heading2"/>
        <w:bidi w:val="0"/>
        <w:jc w:val="left"/>
        <w:rPr/>
      </w:pPr>
      <w:r>
        <w:rPr/>
        <w:t>6. Audit criteria</w:t>
      </w:r>
    </w:p>
    <w:p>
      <w:pPr>
        <w:pStyle w:val="BodyText"/>
        <w:bidi w:val="0"/>
        <w:jc w:val="left"/>
        <w:rPr/>
      </w:pPr>
      <w:r>
        <w:rPr/>
        <w:t>Each audit is conducted against:</w:t>
      </w:r>
    </w:p>
    <w:p>
      <w:pPr>
        <w:pStyle w:val="BodyText"/>
        <w:numPr>
          <w:ilvl w:val="0"/>
          <w:numId w:val="2"/>
        </w:numPr>
        <w:tabs>
          <w:tab w:val="clear" w:pos="1134"/>
          <w:tab w:val="left" w:pos="709" w:leader="none"/>
        </w:tabs>
        <w:bidi w:val="0"/>
        <w:spacing w:before="0" w:after="0"/>
        <w:ind w:hanging="283" w:left="709"/>
        <w:jc w:val="left"/>
        <w:rPr/>
      </w:pPr>
      <w:r>
        <w:rPr/>
        <w:t xml:space="preserve">ISO 9001:2015, clause by clause, for the clauses in the audit scope; </w:t>
      </w:r>
    </w:p>
    <w:p>
      <w:pPr>
        <w:pStyle w:val="BodyText"/>
        <w:numPr>
          <w:ilvl w:val="0"/>
          <w:numId w:val="2"/>
        </w:numPr>
        <w:tabs>
          <w:tab w:val="clear" w:pos="1134"/>
          <w:tab w:val="left" w:pos="709" w:leader="none"/>
        </w:tabs>
        <w:bidi w:val="0"/>
        <w:spacing w:before="0" w:after="0"/>
        <w:ind w:hanging="283" w:left="709"/>
        <w:jc w:val="left"/>
        <w:rPr/>
      </w:pPr>
      <w:r>
        <w:rPr/>
        <w:t xml:space="preserve">the Ajace AI QMS documents in </w:t>
      </w:r>
      <w:r>
        <w:rPr>
          <w:rStyle w:val="SourceText"/>
        </w:rPr>
        <w:t>docs/qms/</w:t>
      </w:r>
      <w:r>
        <w:rPr/>
        <w:t xml:space="preserve"> at the revision in force on the audit date; </w:t>
      </w:r>
    </w:p>
    <w:p>
      <w:pPr>
        <w:pStyle w:val="BodyText"/>
        <w:numPr>
          <w:ilvl w:val="0"/>
          <w:numId w:val="2"/>
        </w:numPr>
        <w:tabs>
          <w:tab w:val="clear" w:pos="1134"/>
          <w:tab w:val="left" w:pos="709" w:leader="none"/>
        </w:tabs>
        <w:bidi w:val="0"/>
        <w:spacing w:before="0" w:after="0"/>
        <w:ind w:hanging="283" w:left="709"/>
        <w:jc w:val="left"/>
        <w:rPr/>
      </w:pPr>
      <w:r>
        <w:rPr/>
        <w:t xml:space="preserve">applicable customer and statutory requirements identified under </w:t>
      </w:r>
      <w:r>
        <w:rPr>
          <w:rStyle w:val="SourceText"/>
        </w:rPr>
        <w:t>SOP-04</w:t>
      </w:r>
      <w:r>
        <w:rPr/>
        <w:t xml:space="preserve">; </w:t>
      </w:r>
    </w:p>
    <w:p>
      <w:pPr>
        <w:pStyle w:val="BodyText"/>
        <w:numPr>
          <w:ilvl w:val="0"/>
          <w:numId w:val="2"/>
        </w:numPr>
        <w:tabs>
          <w:tab w:val="clear" w:pos="1134"/>
          <w:tab w:val="left" w:pos="709" w:leader="none"/>
        </w:tabs>
        <w:bidi w:val="0"/>
        <w:ind w:hanging="283" w:left="709"/>
        <w:jc w:val="left"/>
        <w:rPr/>
      </w:pPr>
      <w:r>
        <w:rPr/>
        <w:t xml:space="preserve">the organisation's own quality objectives in </w:t>
      </w:r>
      <w:r>
        <w:rPr>
          <w:rStyle w:val="SourceText"/>
        </w:rPr>
        <w:t>QO-01</w:t>
      </w:r>
      <w:r>
        <w:rPr/>
        <w:t xml:space="preserve">. </w:t>
      </w:r>
    </w:p>
    <w:p>
      <w:pPr>
        <w:pStyle w:val="BodyText"/>
        <w:bidi w:val="0"/>
        <w:jc w:val="left"/>
        <w:rPr/>
      </w:pPr>
      <w:r>
        <w:rPr/>
        <w:t>The criteria are stated in the audit plan before the audit starts, and reproduced in the report.</w:t>
      </w:r>
    </w:p>
    <w:p>
      <w:pPr>
        <w:pStyle w:val="Heading2"/>
        <w:bidi w:val="0"/>
        <w:jc w:val="left"/>
        <w:rPr/>
      </w:pPr>
      <w:r>
        <w:rPr/>
        <w:t>7. Conducting the audit</w:t>
      </w:r>
    </w:p>
    <w:p>
      <w:pPr>
        <w:pStyle w:val="BodyText"/>
        <w:numPr>
          <w:ilvl w:val="0"/>
          <w:numId w:val="3"/>
        </w:numPr>
        <w:tabs>
          <w:tab w:val="clear" w:pos="1134"/>
          <w:tab w:val="left" w:pos="709" w:leader="none"/>
        </w:tabs>
        <w:bidi w:val="0"/>
        <w:spacing w:before="0" w:after="0"/>
        <w:ind w:hanging="283" w:left="709"/>
        <w:jc w:val="left"/>
        <w:rPr/>
      </w:pPr>
      <w:r>
        <w:rPr>
          <w:rStyle w:val="Strong"/>
        </w:rPr>
        <w:t>Plan.</w:t>
      </w:r>
      <w:r>
        <w:rPr/>
        <w:t xml:space="preserve"> The auditor prepares the plan: scope, criteria, clauses and processes, dates, and who will be interviewed. The plan is issued to the auditee before the audit. </w:t>
      </w:r>
    </w:p>
    <w:p>
      <w:pPr>
        <w:pStyle w:val="BodyText"/>
        <w:numPr>
          <w:ilvl w:val="0"/>
          <w:numId w:val="3"/>
        </w:numPr>
        <w:tabs>
          <w:tab w:val="clear" w:pos="1134"/>
          <w:tab w:val="left" w:pos="709" w:leader="none"/>
        </w:tabs>
        <w:bidi w:val="0"/>
        <w:spacing w:before="0" w:after="0"/>
        <w:ind w:hanging="283" w:left="709"/>
        <w:jc w:val="left"/>
        <w:rPr/>
      </w:pPr>
      <w:r>
        <w:rPr>
          <w:rStyle w:val="Strong"/>
        </w:rPr>
        <w:t>Opening.</w:t>
      </w:r>
      <w:r>
        <w:rPr/>
        <w:t xml:space="preserve"> The auditor confirms scope, criteria, method and the finding classifications in §8. </w:t>
      </w:r>
    </w:p>
    <w:p>
      <w:pPr>
        <w:pStyle w:val="BodyText"/>
        <w:numPr>
          <w:ilvl w:val="0"/>
          <w:numId w:val="3"/>
        </w:numPr>
        <w:tabs>
          <w:tab w:val="clear" w:pos="1134"/>
          <w:tab w:val="left" w:pos="709" w:leader="none"/>
        </w:tabs>
        <w:bidi w:val="0"/>
        <w:ind w:hanging="283" w:left="709"/>
        <w:jc w:val="left"/>
        <w:rPr/>
      </w:pPr>
      <w:r>
        <w:rPr>
          <w:rStyle w:val="Strong"/>
        </w:rPr>
        <w:t>Gather objective evidence.</w:t>
      </w:r>
      <w:r>
        <w:rPr/>
        <w:t xml:space="preserve"> Evidence is examined, not asserted. For this organisation the evidence is overwhelmingly documentary and inspectable: </w:t>
      </w:r>
    </w:p>
    <w:tbl>
      <w:tblPr>
        <w:tblW w:w="4729" w:type="dxa"/>
        <w:jc w:val="left"/>
        <w:tblInd w:w="0" w:type="dxa"/>
        <w:tblLayout w:type="fixed"/>
        <w:tblCellMar>
          <w:top w:w="28" w:type="dxa"/>
          <w:left w:w="28" w:type="dxa"/>
          <w:bottom w:w="28" w:type="dxa"/>
          <w:right w:w="28" w:type="dxa"/>
        </w:tblCellMar>
      </w:tblPr>
      <w:tblGrid>
        <w:gridCol w:w="1161"/>
        <w:gridCol w:w="3568"/>
      </w:tblGrid>
      <w:tr>
        <w:trPr>
          <w:tblHeader w:val="true"/>
        </w:trPr>
        <w:tc>
          <w:tcPr>
            <w:tcW w:w="1161" w:type="dxa"/>
            <w:tcBorders/>
            <w:vAlign w:val="center"/>
          </w:tcPr>
          <w:p>
            <w:pPr>
              <w:pStyle w:val="TableHeading"/>
              <w:suppressLineNumbers/>
              <w:shd w:fill="1F3A5F" w:val="clear"/>
              <w:bidi w:val="0"/>
              <w:spacing w:before="0" w:after="283"/>
              <w:jc w:val="center"/>
              <w:rPr/>
            </w:pPr>
            <w:r>
              <w:rPr/>
              <w:t>Evidence type</w:t>
            </w:r>
          </w:p>
        </w:tc>
        <w:tc>
          <w:tcPr>
            <w:tcW w:w="3568" w:type="dxa"/>
            <w:tcBorders/>
            <w:vAlign w:val="center"/>
          </w:tcPr>
          <w:p>
            <w:pPr>
              <w:pStyle w:val="TableHeading"/>
              <w:suppressLineNumbers/>
              <w:shd w:fill="1F3A5F" w:val="clear"/>
              <w:bidi w:val="0"/>
              <w:spacing w:before="0" w:after="283"/>
              <w:jc w:val="center"/>
              <w:rPr/>
            </w:pPr>
            <w:r>
              <w:rPr/>
              <w:t>Where the auditor looks</w:t>
            </w:r>
          </w:p>
        </w:tc>
      </w:tr>
      <w:tr>
        <w:trPr/>
        <w:tc>
          <w:tcPr>
            <w:tcW w:w="1161" w:type="dxa"/>
            <w:tcBorders/>
            <w:vAlign w:val="center"/>
          </w:tcPr>
          <w:p>
            <w:pPr>
              <w:pStyle w:val="TableContents"/>
              <w:bidi w:val="0"/>
              <w:spacing w:before="0" w:after="283"/>
              <w:jc w:val="left"/>
              <w:rPr/>
            </w:pPr>
            <w:r>
              <w:rPr/>
              <w:t>Change and rationale records</w:t>
            </w:r>
          </w:p>
        </w:tc>
        <w:tc>
          <w:tcPr>
            <w:tcW w:w="3568" w:type="dxa"/>
            <w:tcBorders/>
            <w:vAlign w:val="center"/>
          </w:tcPr>
          <w:p>
            <w:pPr>
              <w:pStyle w:val="TableContents"/>
              <w:bidi w:val="0"/>
              <w:spacing w:before="0" w:after="283"/>
              <w:jc w:val="left"/>
              <w:rPr/>
            </w:pPr>
            <w:r>
              <w:rPr>
                <w:rStyle w:val="SourceText"/>
              </w:rPr>
              <w:t>git log</w:t>
            </w:r>
            <w:r>
              <w:rPr/>
              <w:t>, commit bodies (</w:t>
            </w:r>
            <w:r>
              <w:rPr>
                <w:rStyle w:val="SourceText"/>
              </w:rPr>
              <w:t>SOP-01</w:t>
            </w:r>
            <w:r>
              <w:rPr/>
              <w:t xml:space="preserve"> §3 makes the commit the change record)</w:t>
            </w:r>
          </w:p>
        </w:tc>
      </w:tr>
      <w:tr>
        <w:trPr/>
        <w:tc>
          <w:tcPr>
            <w:tcW w:w="1161" w:type="dxa"/>
            <w:tcBorders/>
            <w:vAlign w:val="center"/>
          </w:tcPr>
          <w:p>
            <w:pPr>
              <w:pStyle w:val="TableContents"/>
              <w:bidi w:val="0"/>
              <w:spacing w:before="0" w:after="283"/>
              <w:jc w:val="left"/>
              <w:rPr/>
            </w:pPr>
            <w:r>
              <w:rPr/>
              <w:t>Product conformity</w:t>
            </w:r>
          </w:p>
        </w:tc>
        <w:tc>
          <w:tcPr>
            <w:tcW w:w="3568" w:type="dxa"/>
            <w:tcBorders/>
            <w:vAlign w:val="center"/>
          </w:tcPr>
          <w:p>
            <w:pPr>
              <w:pStyle w:val="TableContents"/>
              <w:bidi w:val="0"/>
              <w:spacing w:before="0" w:after="283"/>
              <w:jc w:val="left"/>
              <w:rPr/>
            </w:pPr>
            <w:r>
              <w:rPr>
                <w:rStyle w:val="SourceText"/>
              </w:rPr>
              <w:t>eval/run_eval.py</w:t>
            </w:r>
            <w:r>
              <w:rPr/>
              <w:t xml:space="preserve"> reports in </w:t>
            </w:r>
            <w:r>
              <w:rPr>
                <w:rStyle w:val="SourceText"/>
              </w:rPr>
              <w:t>eval/reports/</w:t>
            </w:r>
            <w:r>
              <w:rPr/>
              <w:t xml:space="preserve">; </w:t>
            </w:r>
            <w:r>
              <w:rPr>
                <w:rStyle w:val="SourceText"/>
              </w:rPr>
              <w:t>eval/paper/results/SUMMARY.json</w:t>
            </w:r>
            <w:r>
              <w:rPr/>
              <w:t xml:space="preserve">; </w:t>
            </w:r>
            <w:r>
              <w:rPr>
                <w:rStyle w:val="SourceText"/>
              </w:rPr>
              <w:t>eval/paper/results/REGRESSION_AND_FIXES.json</w:t>
            </w:r>
          </w:p>
        </w:tc>
      </w:tr>
      <w:tr>
        <w:trPr/>
        <w:tc>
          <w:tcPr>
            <w:tcW w:w="1161" w:type="dxa"/>
            <w:tcBorders/>
            <w:vAlign w:val="center"/>
          </w:tcPr>
          <w:p>
            <w:pPr>
              <w:pStyle w:val="TableContents"/>
              <w:bidi w:val="0"/>
              <w:spacing w:before="0" w:after="283"/>
              <w:jc w:val="left"/>
              <w:rPr/>
            </w:pPr>
            <w:r>
              <w:rPr/>
              <w:t>Test results</w:t>
            </w:r>
          </w:p>
        </w:tc>
        <w:tc>
          <w:tcPr>
            <w:tcW w:w="3568" w:type="dxa"/>
            <w:tcBorders/>
            <w:vAlign w:val="center"/>
          </w:tcPr>
          <w:p>
            <w:pPr>
              <w:pStyle w:val="TableContents"/>
              <w:bidi w:val="0"/>
              <w:spacing w:before="0" w:after="283"/>
              <w:jc w:val="left"/>
              <w:rPr/>
            </w:pPr>
            <w:r>
              <w:rPr>
                <w:rStyle w:val="SourceText"/>
              </w:rPr>
              <w:t>backend/tests/</w:t>
            </w:r>
            <w:r>
              <w:rPr/>
              <w:t xml:space="preserve">, </w:t>
            </w:r>
            <w:r>
              <w:rPr>
                <w:rStyle w:val="SourceText"/>
              </w:rPr>
              <w:t>voice/tests/</w:t>
            </w:r>
            <w:r>
              <w:rPr/>
              <w:t xml:space="preserve"> and the recorded output of a run</w:t>
            </w:r>
          </w:p>
        </w:tc>
      </w:tr>
      <w:tr>
        <w:trPr/>
        <w:tc>
          <w:tcPr>
            <w:tcW w:w="1161" w:type="dxa"/>
            <w:tcBorders/>
            <w:vAlign w:val="center"/>
          </w:tcPr>
          <w:p>
            <w:pPr>
              <w:pStyle w:val="TableContents"/>
              <w:bidi w:val="0"/>
              <w:spacing w:before="0" w:after="283"/>
              <w:jc w:val="left"/>
              <w:rPr/>
            </w:pPr>
            <w:r>
              <w:rPr/>
              <w:t>Runtime controls</w:t>
            </w:r>
          </w:p>
        </w:tc>
        <w:tc>
          <w:tcPr>
            <w:tcW w:w="3568" w:type="dxa"/>
            <w:tcBorders/>
            <w:vAlign w:val="center"/>
          </w:tcPr>
          <w:p>
            <w:pPr>
              <w:pStyle w:val="TableContents"/>
              <w:bidi w:val="0"/>
              <w:spacing w:before="0" w:after="283"/>
              <w:jc w:val="left"/>
              <w:rPr/>
            </w:pPr>
            <w:r>
              <w:rPr>
                <w:rStyle w:val="SourceText"/>
              </w:rPr>
              <w:t>docker-compose.yml</w:t>
            </w:r>
            <w:r>
              <w:rPr/>
              <w:t xml:space="preserve">, </w:t>
            </w:r>
            <w:r>
              <w:rPr>
                <w:rStyle w:val="SourceText"/>
              </w:rPr>
              <w:t>backend/app/core/config.py</w:t>
            </w:r>
            <w:r>
              <w:rPr/>
              <w:t xml:space="preserve">, </w:t>
            </w:r>
            <w:r>
              <w:rPr>
                <w:rStyle w:val="SourceText"/>
              </w:rPr>
              <w:t>backend/app/main.py</w:t>
            </w:r>
          </w:p>
        </w:tc>
      </w:tr>
      <w:tr>
        <w:trPr/>
        <w:tc>
          <w:tcPr>
            <w:tcW w:w="1161" w:type="dxa"/>
            <w:tcBorders/>
            <w:vAlign w:val="center"/>
          </w:tcPr>
          <w:p>
            <w:pPr>
              <w:pStyle w:val="TableContents"/>
              <w:bidi w:val="0"/>
              <w:spacing w:before="0" w:after="283"/>
              <w:jc w:val="left"/>
              <w:rPr/>
            </w:pPr>
            <w:r>
              <w:rPr/>
              <w:t>QMS records</w:t>
            </w:r>
          </w:p>
        </w:tc>
        <w:tc>
          <w:tcPr>
            <w:tcW w:w="3568" w:type="dxa"/>
            <w:tcBorders/>
            <w:vAlign w:val="center"/>
          </w:tcPr>
          <w:p>
            <w:pPr>
              <w:pStyle w:val="TableContents"/>
              <w:bidi w:val="0"/>
              <w:spacing w:before="0" w:after="283"/>
              <w:jc w:val="left"/>
              <w:rPr/>
            </w:pPr>
            <w:r>
              <w:rPr>
                <w:rStyle w:val="SourceText"/>
              </w:rPr>
              <w:t>docs/qms/registers/</w:t>
            </w:r>
            <w:r>
              <w:rPr/>
              <w:t xml:space="preserve">, completed </w:t>
            </w:r>
            <w:r>
              <w:rPr>
                <w:rStyle w:val="SourceText"/>
              </w:rPr>
              <w:t>FRM-</w:t>
            </w:r>
            <w:r>
              <w:rPr/>
              <w:t xml:space="preserve"> forms</w:t>
            </w:r>
          </w:p>
        </w:tc>
      </w:tr>
      <w:tr>
        <w:trPr/>
        <w:tc>
          <w:tcPr>
            <w:tcW w:w="1161" w:type="dxa"/>
            <w:tcBorders/>
            <w:vAlign w:val="center"/>
          </w:tcPr>
          <w:p>
            <w:pPr>
              <w:pStyle w:val="TableContents"/>
              <w:bidi w:val="0"/>
              <w:spacing w:before="0" w:after="283"/>
              <w:jc w:val="left"/>
              <w:rPr/>
            </w:pPr>
            <w:r>
              <w:rPr/>
              <w:t>Practice</w:t>
            </w:r>
          </w:p>
        </w:tc>
        <w:tc>
          <w:tcPr>
            <w:tcW w:w="3568" w:type="dxa"/>
            <w:tcBorders/>
            <w:vAlign w:val="center"/>
          </w:tcPr>
          <w:p>
            <w:pPr>
              <w:pStyle w:val="TableContents"/>
              <w:bidi w:val="0"/>
              <w:spacing w:before="0" w:after="283"/>
              <w:jc w:val="left"/>
              <w:rPr/>
            </w:pPr>
            <w:r>
              <w:rPr/>
              <w:t>Interview and demonstration — asking the process owner to perform the step and observing what it actually produces</w:t>
            </w:r>
          </w:p>
        </w:tc>
      </w:tr>
    </w:tbl>
    <w:p>
      <w:pPr>
        <w:pStyle w:val="BodyText"/>
        <w:numPr>
          <w:ilvl w:val="0"/>
          <w:numId w:val="4"/>
        </w:numPr>
        <w:tabs>
          <w:tab w:val="clear" w:pos="1134"/>
          <w:tab w:val="left" w:pos="709" w:leader="none"/>
        </w:tabs>
        <w:bidi w:val="0"/>
        <w:spacing w:before="0" w:after="0"/>
        <w:ind w:hanging="283" w:left="709"/>
        <w:jc w:val="left"/>
        <w:rPr/>
      </w:pPr>
      <w:r>
        <w:rPr>
          <w:rStyle w:val="Strong"/>
        </w:rPr>
        <w:t>Sample and trace.</w:t>
      </w:r>
      <w:r>
        <w:rPr/>
        <w:t xml:space="preserve"> Where records are numerous, the auditor samples and states the sample in the report. Vertical tracing is preferred: take one release, or one defect, and follow it end to end through requirements, design, change control, verification, release and any resulting corrective action. </w:t>
      </w:r>
    </w:p>
    <w:p>
      <w:pPr>
        <w:pStyle w:val="BodyText"/>
        <w:numPr>
          <w:ilvl w:val="0"/>
          <w:numId w:val="4"/>
        </w:numPr>
        <w:tabs>
          <w:tab w:val="clear" w:pos="1134"/>
          <w:tab w:val="left" w:pos="709" w:leader="none"/>
        </w:tabs>
        <w:bidi w:val="0"/>
        <w:spacing w:before="0" w:after="0"/>
        <w:ind w:hanging="283" w:left="709"/>
        <w:jc w:val="left"/>
        <w:rPr/>
      </w:pPr>
      <w:r>
        <w:rPr>
          <w:rStyle w:val="Strong"/>
        </w:rPr>
        <w:t>Test the negative.</w:t>
      </w:r>
      <w:r>
        <w:rPr/>
        <w:t xml:space="preserve"> For every control the QMS claims, the auditor asks what would happen if it failed and looks for the evidence that it did not. A control with no failure mode and no evidence is not a control. </w:t>
      </w:r>
    </w:p>
    <w:p>
      <w:pPr>
        <w:pStyle w:val="BodyText"/>
        <w:numPr>
          <w:ilvl w:val="0"/>
          <w:numId w:val="4"/>
        </w:numPr>
        <w:tabs>
          <w:tab w:val="clear" w:pos="1134"/>
          <w:tab w:val="left" w:pos="709" w:leader="none"/>
        </w:tabs>
        <w:bidi w:val="0"/>
        <w:spacing w:before="0" w:after="0"/>
        <w:ind w:hanging="283" w:left="709"/>
        <w:jc w:val="left"/>
        <w:rPr/>
      </w:pPr>
      <w:r>
        <w:rPr>
          <w:rStyle w:val="Strong"/>
        </w:rPr>
        <w:t>Confirm factual accuracy.</w:t>
      </w:r>
      <w:r>
        <w:rPr/>
        <w:t xml:space="preserve"> Each potential finding is put to the auditee before the report is issued, so that disagreement is about fact, not about surprise. </w:t>
      </w:r>
    </w:p>
    <w:p>
      <w:pPr>
        <w:pStyle w:val="BodyText"/>
        <w:numPr>
          <w:ilvl w:val="0"/>
          <w:numId w:val="4"/>
        </w:numPr>
        <w:tabs>
          <w:tab w:val="clear" w:pos="1134"/>
          <w:tab w:val="left" w:pos="709" w:leader="none"/>
        </w:tabs>
        <w:bidi w:val="0"/>
        <w:ind w:hanging="283" w:left="709"/>
        <w:jc w:val="left"/>
        <w:rPr/>
      </w:pPr>
      <w:r>
        <w:rPr>
          <w:rStyle w:val="Strong"/>
        </w:rPr>
        <w:t>Closing.</w:t>
      </w:r>
      <w:r>
        <w:rPr/>
        <w:t xml:space="preserve"> The auditor presents the findings, the classification of each, and the conclusion. </w:t>
      </w:r>
    </w:p>
    <w:p>
      <w:pPr>
        <w:pStyle w:val="Heading2"/>
        <w:bidi w:val="0"/>
        <w:jc w:val="left"/>
        <w:rPr/>
      </w:pPr>
      <w:r>
        <w:rPr/>
        <w:t>8. Classification of findings</w:t>
      </w:r>
    </w:p>
    <w:tbl>
      <w:tblPr>
        <w:tblW w:w="4729" w:type="dxa"/>
        <w:jc w:val="left"/>
        <w:tblInd w:w="0" w:type="dxa"/>
        <w:tblLayout w:type="fixed"/>
        <w:tblCellMar>
          <w:top w:w="28" w:type="dxa"/>
          <w:left w:w="28" w:type="dxa"/>
          <w:bottom w:w="28" w:type="dxa"/>
          <w:right w:w="28" w:type="dxa"/>
        </w:tblCellMar>
      </w:tblPr>
      <w:tblGrid>
        <w:gridCol w:w="1385"/>
        <w:gridCol w:w="1870"/>
        <w:gridCol w:w="1474"/>
      </w:tblGrid>
      <w:tr>
        <w:trPr>
          <w:tblHeader w:val="true"/>
        </w:trPr>
        <w:tc>
          <w:tcPr>
            <w:tcW w:w="1385" w:type="dxa"/>
            <w:tcBorders/>
            <w:vAlign w:val="center"/>
          </w:tcPr>
          <w:p>
            <w:pPr>
              <w:pStyle w:val="TableHeading"/>
              <w:suppressLineNumbers/>
              <w:shd w:fill="1F3A5F" w:val="clear"/>
              <w:bidi w:val="0"/>
              <w:spacing w:before="0" w:after="283"/>
              <w:jc w:val="center"/>
              <w:rPr/>
            </w:pPr>
            <w:r>
              <w:rPr/>
              <w:t>Classification</w:t>
            </w:r>
          </w:p>
        </w:tc>
        <w:tc>
          <w:tcPr>
            <w:tcW w:w="1870" w:type="dxa"/>
            <w:tcBorders/>
            <w:vAlign w:val="center"/>
          </w:tcPr>
          <w:p>
            <w:pPr>
              <w:pStyle w:val="TableHeading"/>
              <w:suppressLineNumbers/>
              <w:shd w:fill="1F3A5F" w:val="clear"/>
              <w:bidi w:val="0"/>
              <w:spacing w:before="0" w:after="283"/>
              <w:jc w:val="center"/>
              <w:rPr/>
            </w:pPr>
            <w:r>
              <w:rPr/>
              <w:t>Definition</w:t>
            </w:r>
          </w:p>
        </w:tc>
        <w:tc>
          <w:tcPr>
            <w:tcW w:w="1474" w:type="dxa"/>
            <w:tcBorders/>
            <w:vAlign w:val="center"/>
          </w:tcPr>
          <w:p>
            <w:pPr>
              <w:pStyle w:val="TableHeading"/>
              <w:suppressLineNumbers/>
              <w:shd w:fill="1F3A5F" w:val="clear"/>
              <w:bidi w:val="0"/>
              <w:spacing w:before="0" w:after="283"/>
              <w:jc w:val="center"/>
              <w:rPr/>
            </w:pPr>
            <w:r>
              <w:rPr/>
              <w:t>Required response</w:t>
            </w:r>
          </w:p>
        </w:tc>
      </w:tr>
      <w:tr>
        <w:trPr/>
        <w:tc>
          <w:tcPr>
            <w:tcW w:w="1385" w:type="dxa"/>
            <w:tcBorders/>
            <w:vAlign w:val="center"/>
          </w:tcPr>
          <w:p>
            <w:pPr>
              <w:pStyle w:val="TableContents"/>
              <w:bidi w:val="0"/>
              <w:spacing w:before="0" w:after="283"/>
              <w:jc w:val="left"/>
              <w:rPr/>
            </w:pPr>
            <w:r>
              <w:rPr>
                <w:rStyle w:val="Strong"/>
              </w:rPr>
              <w:t>Major nonconformity</w:t>
            </w:r>
          </w:p>
        </w:tc>
        <w:tc>
          <w:tcPr>
            <w:tcW w:w="1870" w:type="dxa"/>
            <w:tcBorders/>
            <w:vAlign w:val="center"/>
          </w:tcPr>
          <w:p>
            <w:pPr>
              <w:pStyle w:val="TableContents"/>
              <w:bidi w:val="0"/>
              <w:spacing w:before="0" w:after="283"/>
              <w:jc w:val="left"/>
              <w:rPr/>
            </w:pPr>
            <w:r>
              <w:rPr/>
              <w:t>The absence of a required process or control; a total breakdown of one; or a nonconformity that has resulted, or is likely to result, in the delivery of nonconforming product to a customer — including any breach of data isolation or of the offline-deployment guarantee. Also: a systematic pattern of minor nonconformities in the same process.</w:t>
            </w:r>
          </w:p>
        </w:tc>
        <w:tc>
          <w:tcPr>
            <w:tcW w:w="1474" w:type="dxa"/>
            <w:tcBorders/>
            <w:vAlign w:val="center"/>
          </w:tcPr>
          <w:p>
            <w:pPr>
              <w:pStyle w:val="TableContents"/>
              <w:bidi w:val="0"/>
              <w:spacing w:before="0" w:after="283"/>
              <w:jc w:val="left"/>
              <w:rPr/>
            </w:pPr>
            <w:r>
              <w:rPr/>
              <w:t xml:space="preserve">Nonconformity record raised under </w:t>
            </w:r>
            <w:r>
              <w:rPr>
                <w:rStyle w:val="SourceText"/>
              </w:rPr>
              <w:t>SOP-14</w:t>
            </w:r>
            <w:r>
              <w:rPr/>
              <w:t xml:space="preserve"> immediately. Containment considered within one working day. Corrective action with root cause and effectiveness verification required.</w:t>
            </w:r>
          </w:p>
        </w:tc>
      </w:tr>
      <w:tr>
        <w:trPr/>
        <w:tc>
          <w:tcPr>
            <w:tcW w:w="1385" w:type="dxa"/>
            <w:tcBorders/>
            <w:vAlign w:val="center"/>
          </w:tcPr>
          <w:p>
            <w:pPr>
              <w:pStyle w:val="TableContents"/>
              <w:bidi w:val="0"/>
              <w:spacing w:before="0" w:after="283"/>
              <w:jc w:val="left"/>
              <w:rPr/>
            </w:pPr>
            <w:r>
              <w:rPr>
                <w:rStyle w:val="Strong"/>
              </w:rPr>
              <w:t>Minor nonconformity</w:t>
            </w:r>
          </w:p>
        </w:tc>
        <w:tc>
          <w:tcPr>
            <w:tcW w:w="1870" w:type="dxa"/>
            <w:tcBorders/>
            <w:vAlign w:val="center"/>
          </w:tcPr>
          <w:p>
            <w:pPr>
              <w:pStyle w:val="TableContents"/>
              <w:bidi w:val="0"/>
              <w:spacing w:before="0" w:after="283"/>
              <w:jc w:val="left"/>
              <w:rPr/>
            </w:pPr>
            <w:r>
              <w:rPr/>
              <w:t>A single lapse in an otherwise implemented process; a requirement met in practice but not evidenced; a record incomplete. Does not by itself put product conformity at risk.</w:t>
            </w:r>
          </w:p>
        </w:tc>
        <w:tc>
          <w:tcPr>
            <w:tcW w:w="1474" w:type="dxa"/>
            <w:tcBorders/>
            <w:vAlign w:val="center"/>
          </w:tcPr>
          <w:p>
            <w:pPr>
              <w:pStyle w:val="TableContents"/>
              <w:bidi w:val="0"/>
              <w:spacing w:before="0" w:after="283"/>
              <w:jc w:val="left"/>
              <w:rPr/>
            </w:pPr>
            <w:r>
              <w:rPr/>
              <w:t xml:space="preserve">Nonconformity record raised under </w:t>
            </w:r>
            <w:r>
              <w:rPr>
                <w:rStyle w:val="SourceText"/>
              </w:rPr>
              <w:t>SOP-14</w:t>
            </w:r>
            <w:r>
              <w:rPr/>
              <w:t>. Correction and, where the cause is likely to recur, corrective action.</w:t>
            </w:r>
          </w:p>
        </w:tc>
      </w:tr>
      <w:tr>
        <w:trPr/>
        <w:tc>
          <w:tcPr>
            <w:tcW w:w="1385" w:type="dxa"/>
            <w:tcBorders/>
            <w:vAlign w:val="center"/>
          </w:tcPr>
          <w:p>
            <w:pPr>
              <w:pStyle w:val="TableContents"/>
              <w:bidi w:val="0"/>
              <w:spacing w:before="0" w:after="283"/>
              <w:jc w:val="left"/>
              <w:rPr/>
            </w:pPr>
            <w:r>
              <w:rPr>
                <w:rStyle w:val="Strong"/>
              </w:rPr>
              <w:t>Observation</w:t>
            </w:r>
          </w:p>
        </w:tc>
        <w:tc>
          <w:tcPr>
            <w:tcW w:w="1870" w:type="dxa"/>
            <w:tcBorders/>
            <w:vAlign w:val="center"/>
          </w:tcPr>
          <w:p>
            <w:pPr>
              <w:pStyle w:val="TableContents"/>
              <w:bidi w:val="0"/>
              <w:spacing w:before="0" w:after="283"/>
              <w:jc w:val="left"/>
              <w:rPr/>
            </w:pPr>
            <w:r>
              <w:rPr/>
              <w:t>A factual statement about a weakness that is not yet a nonconformity — a control that works but depends on one person remembering, or evidence that exists but is not retrievable.</w:t>
            </w:r>
          </w:p>
        </w:tc>
        <w:tc>
          <w:tcPr>
            <w:tcW w:w="1474" w:type="dxa"/>
            <w:tcBorders/>
            <w:vAlign w:val="center"/>
          </w:tcPr>
          <w:p>
            <w:pPr>
              <w:pStyle w:val="TableContents"/>
              <w:bidi w:val="0"/>
              <w:spacing w:before="0" w:after="283"/>
              <w:jc w:val="left"/>
              <w:rPr/>
            </w:pPr>
            <w:r>
              <w:rPr/>
              <w:t>Recorded. Reviewed at management review. Does not require a corrective action but may lead to one.</w:t>
            </w:r>
          </w:p>
        </w:tc>
      </w:tr>
      <w:tr>
        <w:trPr/>
        <w:tc>
          <w:tcPr>
            <w:tcW w:w="1385" w:type="dxa"/>
            <w:tcBorders/>
            <w:vAlign w:val="center"/>
          </w:tcPr>
          <w:p>
            <w:pPr>
              <w:pStyle w:val="TableContents"/>
              <w:bidi w:val="0"/>
              <w:spacing w:before="0" w:after="283"/>
              <w:jc w:val="left"/>
              <w:rPr/>
            </w:pPr>
            <w:r>
              <w:rPr>
                <w:rStyle w:val="Strong"/>
              </w:rPr>
              <w:t>Opportunity for improvement (OFI)</w:t>
            </w:r>
          </w:p>
        </w:tc>
        <w:tc>
          <w:tcPr>
            <w:tcW w:w="1870" w:type="dxa"/>
            <w:tcBorders/>
            <w:vAlign w:val="center"/>
          </w:tcPr>
          <w:p>
            <w:pPr>
              <w:pStyle w:val="TableContents"/>
              <w:bidi w:val="0"/>
              <w:spacing w:before="0" w:after="283"/>
              <w:jc w:val="left"/>
              <w:rPr/>
            </w:pPr>
            <w:r>
              <w:rPr/>
              <w:t>A suggestion that would improve effectiveness or efficiency where no requirement is currently breached.</w:t>
            </w:r>
          </w:p>
        </w:tc>
        <w:tc>
          <w:tcPr>
            <w:tcW w:w="1474" w:type="dxa"/>
            <w:tcBorders/>
            <w:vAlign w:val="center"/>
          </w:tcPr>
          <w:p>
            <w:pPr>
              <w:pStyle w:val="TableContents"/>
              <w:bidi w:val="0"/>
              <w:spacing w:before="0" w:after="283"/>
              <w:jc w:val="left"/>
              <w:rPr/>
            </w:pPr>
            <w:r>
              <w:rPr/>
              <w:t xml:space="preserve">Recorded and considered under </w:t>
            </w:r>
            <w:r>
              <w:rPr>
                <w:rStyle w:val="SourceText"/>
              </w:rPr>
              <w:t>SOP-14</w:t>
            </w:r>
            <w:r>
              <w:rPr/>
              <w:t xml:space="preserve"> §10 (continual improvement). Never used to soften something that is actually a nonconformity.</w:t>
            </w:r>
          </w:p>
        </w:tc>
      </w:tr>
    </w:tbl>
    <w:p>
      <w:pPr>
        <w:pStyle w:val="BodyText"/>
        <w:bidi w:val="0"/>
        <w:jc w:val="left"/>
        <w:rPr/>
      </w:pPr>
      <w:r>
        <w:rPr/>
        <w:t xml:space="preserve">A finding is written as: the </w:t>
      </w:r>
      <w:r>
        <w:rPr>
          <w:rStyle w:val="Strong"/>
        </w:rPr>
        <w:t>requirement</w:t>
      </w:r>
      <w:r>
        <w:rPr/>
        <w:t xml:space="preserve">, the </w:t>
      </w:r>
      <w:r>
        <w:rPr>
          <w:rStyle w:val="Strong"/>
        </w:rPr>
        <w:t>evidence examined</w:t>
      </w:r>
      <w:r>
        <w:rPr/>
        <w:t xml:space="preserve">, and the </w:t>
      </w:r>
      <w:r>
        <w:rPr>
          <w:rStyle w:val="Strong"/>
        </w:rPr>
        <w:t>discrepancy</w:t>
      </w:r>
      <w:r>
        <w:rPr/>
        <w:t xml:space="preserve"> between them. "Poor configuration management" is not a finding. "Clause 8.5.1: the release </w:t>
      </w:r>
      <w:r>
        <w:rPr>
          <w:rStyle w:val="SourceText"/>
        </w:rPr>
        <w:t>__________</w:t>
      </w:r>
      <w:r>
        <w:rPr/>
        <w:t xml:space="preserve"> was deployed with no record of the source revision; </w:t>
      </w:r>
      <w:r>
        <w:rPr>
          <w:rStyle w:val="SourceText"/>
        </w:rPr>
        <w:t>FRM-03</w:t>
      </w:r>
      <w:r>
        <w:rPr/>
        <w:t xml:space="preserve"> for that release has no git SHA recorded" is a finding.</w:t>
      </w:r>
    </w:p>
    <w:p>
      <w:pPr>
        <w:pStyle w:val="Heading2"/>
        <w:bidi w:val="0"/>
        <w:jc w:val="left"/>
        <w:rPr/>
      </w:pPr>
      <w:r>
        <w:rPr/>
        <w:t>9. Reporting (9.2.2 d, 9.2.2 f)</w:t>
      </w:r>
    </w:p>
    <w:p>
      <w:pPr>
        <w:pStyle w:val="BodyText"/>
        <w:bidi w:val="0"/>
        <w:jc w:val="left"/>
        <w:rPr/>
      </w:pPr>
      <w:r>
        <w:rPr/>
        <w:t xml:space="preserve">The auditor completes </w:t>
      </w:r>
      <w:r>
        <w:rPr>
          <w:rStyle w:val="SourceText"/>
        </w:rPr>
        <w:t>forms/FRM-06_Internal_Audit_Report.md</w:t>
      </w:r>
      <w:r>
        <w:rPr/>
        <w:t xml:space="preserve"> and issues it to the Managing Director within </w:t>
      </w:r>
      <w:r>
        <w:rPr>
          <w:rStyle w:val="Strong"/>
        </w:rPr>
        <w:t>10 working days</w:t>
      </w:r>
      <w:r>
        <w:rPr/>
        <w:t xml:space="preserve"> of the closing meeting. The report contains: audit identifier, scope, clauses and processes audited, criteria, auditor and the independence statement, dates, evidence examined, the findings table, and a conclusion on </w:t>
      </w:r>
      <w:r>
        <w:rPr>
          <w:rStyle w:val="Strong"/>
        </w:rPr>
        <w:t>both</w:t>
      </w:r>
      <w:r>
        <w:rPr/>
        <w:t xml:space="preserve"> conformity and effectiveness — these are different questions and both must be answered.</w:t>
      </w:r>
    </w:p>
    <w:p>
      <w:pPr>
        <w:pStyle w:val="BodyText"/>
        <w:bidi w:val="0"/>
        <w:jc w:val="left"/>
        <w:rPr/>
      </w:pPr>
      <w:r>
        <w:rPr/>
        <w:t xml:space="preserve">Reports are retained under </w:t>
      </w:r>
      <w:r>
        <w:rPr>
          <w:rStyle w:val="SourceText"/>
        </w:rPr>
        <w:t>SOP-01</w:t>
      </w:r>
      <w:r>
        <w:rPr/>
        <w:t xml:space="preserve"> §8 and are an input to management review (</w:t>
      </w:r>
      <w:r>
        <w:rPr>
          <w:rStyle w:val="SourceText"/>
        </w:rPr>
        <w:t>SOP-15</w:t>
      </w:r>
      <w:r>
        <w:rPr/>
        <w:t xml:space="preserve"> §5.8).</w:t>
      </w:r>
    </w:p>
    <w:p>
      <w:pPr>
        <w:pStyle w:val="Heading2"/>
        <w:bidi w:val="0"/>
        <w:jc w:val="left"/>
        <w:rPr/>
      </w:pPr>
      <w:r>
        <w:rPr/>
        <w:t>10. Follow-up (9.2.2 e)</w:t>
      </w:r>
    </w:p>
    <w:p>
      <w:pPr>
        <w:pStyle w:val="BodyText"/>
        <w:numPr>
          <w:ilvl w:val="0"/>
          <w:numId w:val="5"/>
        </w:numPr>
        <w:tabs>
          <w:tab w:val="clear" w:pos="1134"/>
          <w:tab w:val="left" w:pos="709" w:leader="none"/>
        </w:tabs>
        <w:bidi w:val="0"/>
        <w:spacing w:before="0" w:after="0"/>
        <w:ind w:hanging="283" w:left="709"/>
        <w:jc w:val="left"/>
        <w:rPr/>
      </w:pPr>
      <w:r>
        <w:rPr/>
        <w:t xml:space="preserve">Every major and minor nonconformity is raised as a record under </w:t>
      </w:r>
      <w:r>
        <w:rPr>
          <w:rStyle w:val="SourceText"/>
        </w:rPr>
        <w:t>SOP-14</w:t>
      </w:r>
      <w:r>
        <w:rPr/>
        <w:t xml:space="preserve"> using </w:t>
      </w:r>
      <w:r>
        <w:rPr>
          <w:rStyle w:val="SourceText"/>
        </w:rPr>
        <w:t>forms/FRM-05_Nonconformity_and_CAPA_Record.md</w:t>
      </w:r>
      <w:r>
        <w:rPr/>
        <w:t xml:space="preserve">, logged in </w:t>
      </w:r>
      <w:r>
        <w:rPr>
          <w:rStyle w:val="SourceText"/>
        </w:rPr>
        <w:t>registers/REG-04_Nonconformity_and_CAPA_Log.md</w:t>
      </w:r>
      <w:r>
        <w:rPr/>
        <w:t xml:space="preserve">, with an owning role and a due date. </w:t>
      </w:r>
    </w:p>
    <w:p>
      <w:pPr>
        <w:pStyle w:val="BodyText"/>
        <w:numPr>
          <w:ilvl w:val="0"/>
          <w:numId w:val="5"/>
        </w:numPr>
        <w:tabs>
          <w:tab w:val="clear" w:pos="1134"/>
          <w:tab w:val="left" w:pos="709" w:leader="none"/>
        </w:tabs>
        <w:bidi w:val="0"/>
        <w:spacing w:before="0" w:after="0"/>
        <w:ind w:hanging="283" w:left="709"/>
        <w:jc w:val="left"/>
        <w:rPr/>
      </w:pPr>
      <w:r>
        <w:rPr/>
        <w:t xml:space="preserve">Corrections are made without undue delay. Corrective action follows the full </w:t>
      </w:r>
      <w:r>
        <w:rPr>
          <w:rStyle w:val="SourceText"/>
        </w:rPr>
        <w:t>SOP-14</w:t>
      </w:r>
      <w:r>
        <w:rPr/>
        <w:t xml:space="preserve"> cycle. </w:t>
      </w:r>
    </w:p>
    <w:p>
      <w:pPr>
        <w:pStyle w:val="BodyText"/>
        <w:numPr>
          <w:ilvl w:val="0"/>
          <w:numId w:val="5"/>
        </w:numPr>
        <w:tabs>
          <w:tab w:val="clear" w:pos="1134"/>
          <w:tab w:val="left" w:pos="709" w:leader="none"/>
        </w:tabs>
        <w:bidi w:val="0"/>
        <w:spacing w:before="0" w:after="0"/>
        <w:ind w:hanging="283" w:left="709"/>
        <w:jc w:val="left"/>
        <w:rPr/>
      </w:pPr>
      <w:r>
        <w:rPr>
          <w:rStyle w:val="Strong"/>
        </w:rPr>
        <w:t>An audit finding is not closed when the action is done. It is closed when the auditor, or the Managing Director where no auditor is available, has verified with evidence that the action was effective</w:t>
      </w:r>
      <w:r>
        <w:rPr/>
        <w:t xml:space="preserve"> — see </w:t>
      </w:r>
      <w:r>
        <w:rPr>
          <w:rStyle w:val="SourceText"/>
        </w:rPr>
        <w:t>SOP-14</w:t>
      </w:r>
      <w:r>
        <w:rPr/>
        <w:t xml:space="preserve"> §8. Closure without effectiveness evidence is itself a nonconformity. </w:t>
      </w:r>
    </w:p>
    <w:p>
      <w:pPr>
        <w:pStyle w:val="BodyText"/>
        <w:numPr>
          <w:ilvl w:val="0"/>
          <w:numId w:val="5"/>
        </w:numPr>
        <w:tabs>
          <w:tab w:val="clear" w:pos="1134"/>
          <w:tab w:val="left" w:pos="709" w:leader="none"/>
        </w:tabs>
        <w:bidi w:val="0"/>
        <w:ind w:hanging="283" w:left="709"/>
        <w:jc w:val="left"/>
        <w:rPr/>
      </w:pPr>
      <w:r>
        <w:rPr/>
        <w:t xml:space="preserve">Open findings are carried forward to the next audit event and re-examined there. </w:t>
      </w:r>
    </w:p>
    <w:p>
      <w:pPr>
        <w:pStyle w:val="Heading2"/>
        <w:bidi w:val="0"/>
        <w:jc w:val="left"/>
        <w:rPr/>
      </w:pPr>
      <w:r>
        <w:rPr/>
        <w:t>11. Records</w:t>
      </w:r>
    </w:p>
    <w:tbl>
      <w:tblPr>
        <w:tblW w:w="4729" w:type="dxa"/>
        <w:jc w:val="left"/>
        <w:tblInd w:w="0" w:type="dxa"/>
        <w:tblLayout w:type="fixed"/>
        <w:tblCellMar>
          <w:top w:w="28" w:type="dxa"/>
          <w:left w:w="28" w:type="dxa"/>
          <w:bottom w:w="28" w:type="dxa"/>
          <w:right w:w="28" w:type="dxa"/>
        </w:tblCellMar>
      </w:tblPr>
      <w:tblGrid>
        <w:gridCol w:w="1563"/>
        <w:gridCol w:w="1948"/>
        <w:gridCol w:w="1218"/>
      </w:tblGrid>
      <w:tr>
        <w:trPr>
          <w:tblHeader w:val="true"/>
        </w:trPr>
        <w:tc>
          <w:tcPr>
            <w:tcW w:w="1563" w:type="dxa"/>
            <w:tcBorders/>
            <w:vAlign w:val="center"/>
          </w:tcPr>
          <w:p>
            <w:pPr>
              <w:pStyle w:val="TableHeading"/>
              <w:suppressLineNumbers/>
              <w:shd w:fill="1F3A5F" w:val="clear"/>
              <w:bidi w:val="0"/>
              <w:spacing w:before="0" w:after="283"/>
              <w:jc w:val="center"/>
              <w:rPr/>
            </w:pPr>
            <w:r>
              <w:rPr/>
              <w:t>Record</w:t>
            </w:r>
          </w:p>
        </w:tc>
        <w:tc>
          <w:tcPr>
            <w:tcW w:w="1948" w:type="dxa"/>
            <w:tcBorders/>
            <w:vAlign w:val="center"/>
          </w:tcPr>
          <w:p>
            <w:pPr>
              <w:pStyle w:val="TableHeading"/>
              <w:suppressLineNumbers/>
              <w:shd w:fill="1F3A5F" w:val="clear"/>
              <w:bidi w:val="0"/>
              <w:spacing w:before="0" w:after="283"/>
              <w:jc w:val="center"/>
              <w:rPr/>
            </w:pPr>
            <w:r>
              <w:rPr/>
              <w:t>Location</w:t>
            </w:r>
          </w:p>
        </w:tc>
        <w:tc>
          <w:tcPr>
            <w:tcW w:w="1218" w:type="dxa"/>
            <w:tcBorders/>
            <w:vAlign w:val="center"/>
          </w:tcPr>
          <w:p>
            <w:pPr>
              <w:pStyle w:val="TableHeading"/>
              <w:suppressLineNumbers/>
              <w:shd w:fill="1F3A5F" w:val="clear"/>
              <w:bidi w:val="0"/>
              <w:spacing w:before="0" w:after="283"/>
              <w:jc w:val="center"/>
              <w:rPr/>
            </w:pPr>
            <w:r>
              <w:rPr/>
              <w:t>Retention</w:t>
            </w:r>
          </w:p>
        </w:tc>
      </w:tr>
      <w:tr>
        <w:trPr/>
        <w:tc>
          <w:tcPr>
            <w:tcW w:w="1563" w:type="dxa"/>
            <w:tcBorders/>
            <w:vAlign w:val="center"/>
          </w:tcPr>
          <w:p>
            <w:pPr>
              <w:pStyle w:val="TableContents"/>
              <w:bidi w:val="0"/>
              <w:spacing w:before="0" w:after="283"/>
              <w:jc w:val="left"/>
              <w:rPr/>
            </w:pPr>
            <w:r>
              <w:rPr/>
              <w:t>Audit programme and schedule</w:t>
            </w:r>
          </w:p>
        </w:tc>
        <w:tc>
          <w:tcPr>
            <w:tcW w:w="1948" w:type="dxa"/>
            <w:tcBorders/>
            <w:vAlign w:val="center"/>
          </w:tcPr>
          <w:p>
            <w:pPr>
              <w:pStyle w:val="TableContents"/>
              <w:bidi w:val="0"/>
              <w:spacing w:before="0" w:after="283"/>
              <w:jc w:val="left"/>
              <w:rPr/>
            </w:pPr>
            <w:r>
              <w:rPr/>
              <w:t>§4 and §4.1 of this document; revision history in Git</w:t>
            </w:r>
          </w:p>
        </w:tc>
        <w:tc>
          <w:tcPr>
            <w:tcW w:w="1218" w:type="dxa"/>
            <w:tcBorders/>
            <w:vAlign w:val="center"/>
          </w:tcPr>
          <w:p>
            <w:pPr>
              <w:pStyle w:val="TableContents"/>
              <w:bidi w:val="0"/>
              <w:spacing w:before="0" w:after="283"/>
              <w:jc w:val="left"/>
              <w:rPr/>
            </w:pPr>
            <w:r>
              <w:rPr/>
              <w:t>Life of the QMS + 3 years (</w:t>
            </w:r>
            <w:r>
              <w:rPr>
                <w:rStyle w:val="SourceText"/>
              </w:rPr>
              <w:t>SOP-01</w:t>
            </w:r>
            <w:r>
              <w:rPr/>
              <w:t xml:space="preserve"> §8)</w:t>
            </w:r>
          </w:p>
        </w:tc>
      </w:tr>
      <w:tr>
        <w:trPr/>
        <w:tc>
          <w:tcPr>
            <w:tcW w:w="1563" w:type="dxa"/>
            <w:tcBorders/>
            <w:vAlign w:val="center"/>
          </w:tcPr>
          <w:p>
            <w:pPr>
              <w:pStyle w:val="TableContents"/>
              <w:bidi w:val="0"/>
              <w:spacing w:before="0" w:after="283"/>
              <w:jc w:val="left"/>
              <w:rPr/>
            </w:pPr>
            <w:r>
              <w:rPr/>
              <w:t>Audit plan</w:t>
            </w:r>
          </w:p>
        </w:tc>
        <w:tc>
          <w:tcPr>
            <w:tcW w:w="1948" w:type="dxa"/>
            <w:tcBorders/>
            <w:vAlign w:val="center"/>
          </w:tcPr>
          <w:p>
            <w:pPr>
              <w:pStyle w:val="TableContents"/>
              <w:bidi w:val="0"/>
              <w:spacing w:before="0" w:after="283"/>
              <w:jc w:val="left"/>
              <w:rPr/>
            </w:pPr>
            <w:r>
              <w:rPr>
                <w:rStyle w:val="SourceText"/>
              </w:rPr>
              <w:t>docs/qms/records/audits/</w:t>
            </w:r>
            <w:r>
              <w:rPr/>
              <w:t xml:space="preserve"> (created at first audit)</w:t>
            </w:r>
          </w:p>
        </w:tc>
        <w:tc>
          <w:tcPr>
            <w:tcW w:w="1218" w:type="dxa"/>
            <w:tcBorders/>
            <w:vAlign w:val="center"/>
          </w:tcPr>
          <w:p>
            <w:pPr>
              <w:pStyle w:val="TableContents"/>
              <w:bidi w:val="0"/>
              <w:spacing w:before="0" w:after="283"/>
              <w:jc w:val="left"/>
              <w:rPr/>
            </w:pPr>
            <w:r>
              <w:rPr/>
              <w:t>3 years (</w:t>
            </w:r>
            <w:r>
              <w:rPr>
                <w:rStyle w:val="SourceText"/>
              </w:rPr>
              <w:t>SOP-01</w:t>
            </w:r>
            <w:r>
              <w:rPr/>
              <w:t xml:space="preserve"> §8)</w:t>
            </w:r>
          </w:p>
        </w:tc>
      </w:tr>
      <w:tr>
        <w:trPr/>
        <w:tc>
          <w:tcPr>
            <w:tcW w:w="1563" w:type="dxa"/>
            <w:tcBorders/>
            <w:vAlign w:val="center"/>
          </w:tcPr>
          <w:p>
            <w:pPr>
              <w:pStyle w:val="TableContents"/>
              <w:bidi w:val="0"/>
              <w:spacing w:before="0" w:after="283"/>
              <w:jc w:val="left"/>
              <w:rPr/>
            </w:pPr>
            <w:r>
              <w:rPr/>
              <w:t>Internal audit report, including findings and independence statement</w:t>
            </w:r>
          </w:p>
        </w:tc>
        <w:tc>
          <w:tcPr>
            <w:tcW w:w="1948" w:type="dxa"/>
            <w:tcBorders/>
            <w:vAlign w:val="center"/>
          </w:tcPr>
          <w:p>
            <w:pPr>
              <w:pStyle w:val="TableContents"/>
              <w:bidi w:val="0"/>
              <w:spacing w:before="0" w:after="283"/>
              <w:jc w:val="left"/>
              <w:rPr/>
            </w:pPr>
            <w:r>
              <w:rPr/>
              <w:t xml:space="preserve">Completed copy of </w:t>
            </w:r>
            <w:r>
              <w:rPr>
                <w:rStyle w:val="SourceText"/>
              </w:rPr>
              <w:t>forms/FRM-06_Internal_Audit_Report.md</w:t>
            </w:r>
            <w:r>
              <w:rPr/>
              <w:t xml:space="preserve">, stored under </w:t>
            </w:r>
            <w:r>
              <w:rPr>
                <w:rStyle w:val="SourceText"/>
              </w:rPr>
              <w:t>docs/qms/records/audits/</w:t>
            </w:r>
          </w:p>
        </w:tc>
        <w:tc>
          <w:tcPr>
            <w:tcW w:w="1218" w:type="dxa"/>
            <w:tcBorders/>
            <w:vAlign w:val="center"/>
          </w:tcPr>
          <w:p>
            <w:pPr>
              <w:pStyle w:val="TableContents"/>
              <w:bidi w:val="0"/>
              <w:spacing w:before="0" w:after="283"/>
              <w:jc w:val="left"/>
              <w:rPr/>
            </w:pPr>
            <w:r>
              <w:rPr/>
              <w:t>3 years (</w:t>
            </w:r>
            <w:r>
              <w:rPr>
                <w:rStyle w:val="SourceText"/>
              </w:rPr>
              <w:t>SOP-01</w:t>
            </w:r>
            <w:r>
              <w:rPr/>
              <w:t xml:space="preserve"> §8)</w:t>
            </w:r>
          </w:p>
        </w:tc>
      </w:tr>
      <w:tr>
        <w:trPr/>
        <w:tc>
          <w:tcPr>
            <w:tcW w:w="1563" w:type="dxa"/>
            <w:tcBorders/>
            <w:vAlign w:val="center"/>
          </w:tcPr>
          <w:p>
            <w:pPr>
              <w:pStyle w:val="TableContents"/>
              <w:bidi w:val="0"/>
              <w:spacing w:before="0" w:after="283"/>
              <w:jc w:val="left"/>
              <w:rPr/>
            </w:pPr>
            <w:r>
              <w:rPr/>
              <w:t>Nonconformities arising from audit</w:t>
            </w:r>
          </w:p>
        </w:tc>
        <w:tc>
          <w:tcPr>
            <w:tcW w:w="1948" w:type="dxa"/>
            <w:tcBorders/>
            <w:vAlign w:val="center"/>
          </w:tcPr>
          <w:p>
            <w:pPr>
              <w:pStyle w:val="TableContents"/>
              <w:bidi w:val="0"/>
              <w:spacing w:before="0" w:after="283"/>
              <w:jc w:val="left"/>
              <w:rPr/>
            </w:pPr>
            <w:r>
              <w:rPr>
                <w:rStyle w:val="SourceText"/>
              </w:rPr>
              <w:t>registers/REG-04_Nonconformity_and_CAPA_Log.md</w:t>
            </w:r>
            <w:r>
              <w:rPr/>
              <w:t xml:space="preserve"> and completed </w:t>
            </w:r>
            <w:r>
              <w:rPr>
                <w:rStyle w:val="SourceText"/>
              </w:rPr>
              <w:t>FRM-05</w:t>
            </w:r>
            <w:r>
              <w:rPr/>
              <w:t xml:space="preserve"> records</w:t>
            </w:r>
          </w:p>
        </w:tc>
        <w:tc>
          <w:tcPr>
            <w:tcW w:w="1218" w:type="dxa"/>
            <w:tcBorders/>
            <w:vAlign w:val="center"/>
          </w:tcPr>
          <w:p>
            <w:pPr>
              <w:pStyle w:val="TableContents"/>
              <w:bidi w:val="0"/>
              <w:spacing w:before="0" w:after="283"/>
              <w:jc w:val="left"/>
              <w:rPr/>
            </w:pPr>
            <w:r>
              <w:rPr/>
              <w:t>3 years after closure (</w:t>
            </w:r>
            <w:r>
              <w:rPr>
                <w:rStyle w:val="SourceText"/>
              </w:rPr>
              <w:t>SOP-01</w:t>
            </w:r>
            <w:r>
              <w:rPr/>
              <w:t xml:space="preserve"> §8)</w:t>
            </w:r>
          </w:p>
        </w:tc>
      </w:tr>
      <w:tr>
        <w:trPr/>
        <w:tc>
          <w:tcPr>
            <w:tcW w:w="1563" w:type="dxa"/>
            <w:tcBorders/>
            <w:vAlign w:val="center"/>
          </w:tcPr>
          <w:p>
            <w:pPr>
              <w:pStyle w:val="TableContents"/>
              <w:bidi w:val="0"/>
              <w:spacing w:before="0" w:after="283"/>
              <w:jc w:val="left"/>
              <w:rPr/>
            </w:pPr>
            <w:r>
              <w:rPr/>
              <w:t>Auditor competence and independence evidence</w:t>
            </w:r>
          </w:p>
        </w:tc>
        <w:tc>
          <w:tcPr>
            <w:tcW w:w="1948" w:type="dxa"/>
            <w:tcBorders/>
            <w:vAlign w:val="center"/>
          </w:tcPr>
          <w:p>
            <w:pPr>
              <w:pStyle w:val="TableContents"/>
              <w:bidi w:val="0"/>
              <w:spacing w:before="0" w:after="283"/>
              <w:jc w:val="left"/>
              <w:rPr/>
            </w:pPr>
            <w:r>
              <w:rPr>
                <w:rStyle w:val="SourceText"/>
              </w:rPr>
              <w:t>registers/REG-05_Competence_and_Training_Record.md</w:t>
            </w:r>
            <w:r>
              <w:rPr/>
              <w:t xml:space="preserve"> for internal auditors; the engagement record for an external auditor</w:t>
            </w:r>
          </w:p>
        </w:tc>
        <w:tc>
          <w:tcPr>
            <w:tcW w:w="1218" w:type="dxa"/>
            <w:tcBorders/>
            <w:vAlign w:val="center"/>
          </w:tcPr>
          <w:p>
            <w:pPr>
              <w:pStyle w:val="TableContents"/>
              <w:bidi w:val="0"/>
              <w:spacing w:before="0" w:after="283"/>
              <w:jc w:val="left"/>
              <w:rPr/>
            </w:pPr>
            <w:r>
              <w:rPr/>
              <w:t>Duration of engagement + 3 years</w:t>
            </w:r>
          </w:p>
        </w:tc>
      </w:tr>
      <w:tr>
        <w:trPr/>
        <w:tc>
          <w:tcPr>
            <w:tcW w:w="1563" w:type="dxa"/>
            <w:tcBorders/>
            <w:vAlign w:val="center"/>
          </w:tcPr>
          <w:p>
            <w:pPr>
              <w:pStyle w:val="TableContents"/>
              <w:bidi w:val="0"/>
              <w:spacing w:before="0" w:after="283"/>
              <w:jc w:val="left"/>
              <w:rPr/>
            </w:pPr>
            <w:r>
              <w:rPr/>
              <w:t>Review of audit results</w:t>
            </w:r>
          </w:p>
        </w:tc>
        <w:tc>
          <w:tcPr>
            <w:tcW w:w="1948" w:type="dxa"/>
            <w:tcBorders/>
            <w:vAlign w:val="center"/>
          </w:tcPr>
          <w:p>
            <w:pPr>
              <w:pStyle w:val="TableContents"/>
              <w:bidi w:val="0"/>
              <w:spacing w:before="0" w:after="283"/>
              <w:jc w:val="left"/>
              <w:rPr/>
            </w:pPr>
            <w:r>
              <w:rPr/>
              <w:t>Management review minutes (</w:t>
            </w:r>
            <w:r>
              <w:rPr>
                <w:rStyle w:val="SourceText"/>
              </w:rPr>
              <w:t>SOP-15</w:t>
            </w:r>
            <w:r>
              <w:rPr/>
              <w:t>)</w:t>
            </w:r>
          </w:p>
        </w:tc>
        <w:tc>
          <w:tcPr>
            <w:tcW w:w="1218" w:type="dxa"/>
            <w:tcBorders/>
            <w:vAlign w:val="center"/>
          </w:tcPr>
          <w:p>
            <w:pPr>
              <w:pStyle w:val="TableContents"/>
              <w:bidi w:val="0"/>
              <w:spacing w:before="0" w:after="283"/>
              <w:jc w:val="left"/>
              <w:rPr/>
            </w:pPr>
            <w:r>
              <w:rPr/>
              <w:t>3 years (</w:t>
            </w:r>
            <w:r>
              <w:rPr>
                <w:rStyle w:val="SourceText"/>
              </w:rPr>
              <w:t>SOP-01</w:t>
            </w:r>
            <w:r>
              <w:rPr/>
              <w:t xml:space="preserve"> §8)</w:t>
            </w:r>
          </w:p>
        </w:tc>
      </w:tr>
    </w:tbl>
    <w:p>
      <w:pPr>
        <w:pStyle w:val="Heading2"/>
        <w:bidi w:val="0"/>
        <w:jc w:val="left"/>
        <w:rPr/>
      </w:pPr>
      <w:r>
        <w:rPr/>
        <w:t>12. Current state and gaps</w:t>
      </w:r>
    </w:p>
    <w:p>
      <w:pPr>
        <w:pStyle w:val="BodyText"/>
        <w:bidi w:val="0"/>
        <w:jc w:val="left"/>
        <w:rPr/>
      </w:pPr>
      <w:r>
        <w:rPr>
          <w:rStyle w:val="Strong"/>
        </w:rPr>
        <w:t>Stated plainly: no internal audit has yet been conducted at Ajace AI. There is no audit programme in operation, no audit report, and no auditor appointed.</w:t>
      </w:r>
      <w:r>
        <w:rPr/>
        <w:t xml:space="preserve"> This procedure is the first audit arrangement the organisation has had; all planned periods in §4.1 are blank because the programme has not been approved.</w:t>
      </w:r>
    </w:p>
    <w:p>
      <w:pPr>
        <w:pStyle w:val="BodyText"/>
        <w:bidi w:val="0"/>
        <w:jc w:val="left"/>
        <w:rPr/>
      </w:pPr>
      <w:r>
        <w:rPr>
          <w:rStyle w:val="Strong"/>
        </w:rPr>
        <w:t>The impartiality requirement of 9.2.2 c cannot currently be met internally.</w:t>
      </w:r>
      <w:r>
        <w:rPr/>
        <w:t xml:space="preserve"> With one person, any internally conducted audit is an audit of the auditor's own work. This is recorded as an open nonconformity of the QMS itself, against clause 9.2.2 c, in </w:t>
      </w:r>
      <w:r>
        <w:rPr>
          <w:rStyle w:val="SourceText"/>
        </w:rPr>
        <w:t>registers/REG-04_Nonconformity_and_CAPA_Log.md</w:t>
      </w:r>
      <w:r>
        <w:rPr/>
        <w:t xml:space="preserve">, and it remains open until an external or contract auditor is engaged, or a competent second person joins the organisation. Until then any internal exercise is titled a </w:t>
      </w:r>
      <w:r>
        <w:rPr>
          <w:rStyle w:val="Strong"/>
        </w:rPr>
        <w:t>self-assessment</w:t>
      </w:r>
      <w:r>
        <w:rPr/>
        <w:t xml:space="preserve"> and is not presented as satisfying clause 9.2 (§5).</w:t>
      </w:r>
    </w:p>
    <w:tbl>
      <w:tblPr>
        <w:tblW w:w="4729" w:type="dxa"/>
        <w:jc w:val="left"/>
        <w:tblInd w:w="0" w:type="dxa"/>
        <w:tblLayout w:type="fixed"/>
        <w:tblCellMar>
          <w:top w:w="28" w:type="dxa"/>
          <w:left w:w="28" w:type="dxa"/>
          <w:bottom w:w="28" w:type="dxa"/>
          <w:right w:w="28" w:type="dxa"/>
        </w:tblCellMar>
      </w:tblPr>
      <w:tblGrid>
        <w:gridCol w:w="1427"/>
        <w:gridCol w:w="1469"/>
        <w:gridCol w:w="1833"/>
      </w:tblGrid>
      <w:tr>
        <w:trPr>
          <w:tblHeader w:val="true"/>
        </w:trPr>
        <w:tc>
          <w:tcPr>
            <w:tcW w:w="1427" w:type="dxa"/>
            <w:tcBorders/>
            <w:vAlign w:val="center"/>
          </w:tcPr>
          <w:p>
            <w:pPr>
              <w:pStyle w:val="TableHeading"/>
              <w:suppressLineNumbers/>
              <w:shd w:fill="1F3A5F" w:val="clear"/>
              <w:bidi w:val="0"/>
              <w:spacing w:before="0" w:after="283"/>
              <w:jc w:val="center"/>
              <w:rPr/>
            </w:pPr>
            <w:r>
              <w:rPr/>
              <w:t>Gap</w:t>
            </w:r>
          </w:p>
        </w:tc>
        <w:tc>
          <w:tcPr>
            <w:tcW w:w="1469" w:type="dxa"/>
            <w:tcBorders/>
            <w:vAlign w:val="center"/>
          </w:tcPr>
          <w:p>
            <w:pPr>
              <w:pStyle w:val="TableHeading"/>
              <w:suppressLineNumbers/>
              <w:shd w:fill="1F3A5F" w:val="clear"/>
              <w:bidi w:val="0"/>
              <w:spacing w:before="0" w:after="283"/>
              <w:jc w:val="center"/>
              <w:rPr/>
            </w:pPr>
            <w:r>
              <w:rPr/>
              <w:t>Current state</w:t>
            </w:r>
          </w:p>
        </w:tc>
        <w:tc>
          <w:tcPr>
            <w:tcW w:w="1833" w:type="dxa"/>
            <w:tcBorders/>
            <w:vAlign w:val="center"/>
          </w:tcPr>
          <w:p>
            <w:pPr>
              <w:pStyle w:val="TableHeading"/>
              <w:suppressLineNumbers/>
              <w:shd w:fill="1F3A5F" w:val="clear"/>
              <w:bidi w:val="0"/>
              <w:spacing w:before="0" w:after="283"/>
              <w:jc w:val="center"/>
              <w:rPr/>
            </w:pPr>
            <w:r>
              <w:rPr/>
              <w:t>Consequence</w:t>
            </w:r>
          </w:p>
        </w:tc>
      </w:tr>
      <w:tr>
        <w:trPr/>
        <w:tc>
          <w:tcPr>
            <w:tcW w:w="1427" w:type="dxa"/>
            <w:tcBorders/>
            <w:vAlign w:val="center"/>
          </w:tcPr>
          <w:p>
            <w:pPr>
              <w:pStyle w:val="TableContents"/>
              <w:bidi w:val="0"/>
              <w:spacing w:before="0" w:after="283"/>
              <w:jc w:val="left"/>
              <w:rPr/>
            </w:pPr>
            <w:r>
              <w:rPr/>
              <w:t>No internal audit ever conducted</w:t>
            </w:r>
          </w:p>
        </w:tc>
        <w:tc>
          <w:tcPr>
            <w:tcW w:w="1469" w:type="dxa"/>
            <w:tcBorders/>
            <w:vAlign w:val="center"/>
          </w:tcPr>
          <w:p>
            <w:pPr>
              <w:pStyle w:val="TableContents"/>
              <w:bidi w:val="0"/>
              <w:spacing w:before="0" w:after="283"/>
              <w:jc w:val="left"/>
              <w:rPr/>
            </w:pPr>
            <w:r>
              <w:rPr/>
              <w:t>No audit records exist in the repository</w:t>
            </w:r>
          </w:p>
        </w:tc>
        <w:tc>
          <w:tcPr>
            <w:tcW w:w="1833" w:type="dxa"/>
            <w:tcBorders/>
            <w:vAlign w:val="center"/>
          </w:tcPr>
          <w:p>
            <w:pPr>
              <w:pStyle w:val="TableContents"/>
              <w:bidi w:val="0"/>
              <w:spacing w:before="0" w:after="283"/>
              <w:jc w:val="left"/>
              <w:rPr/>
            </w:pPr>
            <w:r>
              <w:rPr/>
              <w:t>Clause 9.2.1 unmet; the QMS has never been independently checked against evidence</w:t>
            </w:r>
          </w:p>
        </w:tc>
      </w:tr>
      <w:tr>
        <w:trPr/>
        <w:tc>
          <w:tcPr>
            <w:tcW w:w="1427" w:type="dxa"/>
            <w:tcBorders/>
            <w:vAlign w:val="center"/>
          </w:tcPr>
          <w:p>
            <w:pPr>
              <w:pStyle w:val="TableContents"/>
              <w:bidi w:val="0"/>
              <w:spacing w:before="0" w:after="283"/>
              <w:jc w:val="left"/>
              <w:rPr/>
            </w:pPr>
            <w:r>
              <w:rPr/>
              <w:t>No independent auditor available</w:t>
            </w:r>
          </w:p>
        </w:tc>
        <w:tc>
          <w:tcPr>
            <w:tcW w:w="1469" w:type="dxa"/>
            <w:tcBorders/>
            <w:vAlign w:val="center"/>
          </w:tcPr>
          <w:p>
            <w:pPr>
              <w:pStyle w:val="TableContents"/>
              <w:bidi w:val="0"/>
              <w:spacing w:before="0" w:after="283"/>
              <w:jc w:val="left"/>
              <w:rPr/>
            </w:pPr>
            <w:r>
              <w:rPr/>
              <w:t>One person in the organisation (</w:t>
            </w:r>
            <w:r>
              <w:rPr>
                <w:rStyle w:val="SourceText"/>
              </w:rPr>
              <w:t>SOP-02</w:t>
            </w:r>
            <w:r>
              <w:rPr/>
              <w:t xml:space="preserve"> §4)</w:t>
            </w:r>
          </w:p>
        </w:tc>
        <w:tc>
          <w:tcPr>
            <w:tcW w:w="1833" w:type="dxa"/>
            <w:tcBorders/>
            <w:vAlign w:val="center"/>
          </w:tcPr>
          <w:p>
            <w:pPr>
              <w:pStyle w:val="TableContents"/>
              <w:bidi w:val="0"/>
              <w:spacing w:before="0" w:after="283"/>
              <w:jc w:val="left"/>
              <w:rPr/>
            </w:pPr>
            <w:r>
              <w:rPr/>
              <w:t>Clause 9.2.2 c unmet; recorded as an open nonconformity of the QMS</w:t>
            </w:r>
          </w:p>
        </w:tc>
      </w:tr>
      <w:tr>
        <w:trPr/>
        <w:tc>
          <w:tcPr>
            <w:tcW w:w="1427" w:type="dxa"/>
            <w:tcBorders/>
            <w:vAlign w:val="center"/>
          </w:tcPr>
          <w:p>
            <w:pPr>
              <w:pStyle w:val="TableContents"/>
              <w:bidi w:val="0"/>
              <w:spacing w:before="0" w:after="283"/>
              <w:jc w:val="left"/>
              <w:rPr/>
            </w:pPr>
            <w:r>
              <w:rPr/>
              <w:t>Audit programme not approved</w:t>
            </w:r>
          </w:p>
        </w:tc>
        <w:tc>
          <w:tcPr>
            <w:tcW w:w="1469" w:type="dxa"/>
            <w:tcBorders/>
            <w:vAlign w:val="center"/>
          </w:tcPr>
          <w:p>
            <w:pPr>
              <w:pStyle w:val="TableContents"/>
              <w:bidi w:val="0"/>
              <w:spacing w:before="0" w:after="283"/>
              <w:jc w:val="left"/>
              <w:rPr/>
            </w:pPr>
            <w:r>
              <w:rPr/>
              <w:t>Planned periods in §4.1 are placeholders</w:t>
            </w:r>
          </w:p>
        </w:tc>
        <w:tc>
          <w:tcPr>
            <w:tcW w:w="1833" w:type="dxa"/>
            <w:tcBorders/>
            <w:vAlign w:val="center"/>
          </w:tcPr>
          <w:p>
            <w:pPr>
              <w:pStyle w:val="TableContents"/>
              <w:bidi w:val="0"/>
              <w:spacing w:before="0" w:after="283"/>
              <w:jc w:val="left"/>
              <w:rPr/>
            </w:pPr>
            <w:r>
              <w:rPr/>
              <w:t>Coverage of all clauses over a cycle is defined but not scheduled</w:t>
            </w:r>
          </w:p>
        </w:tc>
      </w:tr>
      <w:tr>
        <w:trPr/>
        <w:tc>
          <w:tcPr>
            <w:tcW w:w="1427" w:type="dxa"/>
            <w:tcBorders/>
            <w:vAlign w:val="center"/>
          </w:tcPr>
          <w:p>
            <w:pPr>
              <w:pStyle w:val="TableContents"/>
              <w:bidi w:val="0"/>
              <w:spacing w:before="0" w:after="283"/>
              <w:jc w:val="left"/>
              <w:rPr/>
            </w:pPr>
            <w:r>
              <w:rPr/>
              <w:t xml:space="preserve">No </w:t>
            </w:r>
            <w:r>
              <w:rPr>
                <w:rStyle w:val="SourceText"/>
              </w:rPr>
              <w:t>docs/qms/records/</w:t>
            </w:r>
            <w:r>
              <w:rPr/>
              <w:t xml:space="preserve"> directory yet</w:t>
            </w:r>
          </w:p>
        </w:tc>
        <w:tc>
          <w:tcPr>
            <w:tcW w:w="1469" w:type="dxa"/>
            <w:tcBorders/>
            <w:vAlign w:val="center"/>
          </w:tcPr>
          <w:p>
            <w:pPr>
              <w:pStyle w:val="TableContents"/>
              <w:bidi w:val="0"/>
              <w:spacing w:before="0" w:after="283"/>
              <w:jc w:val="left"/>
              <w:rPr/>
            </w:pPr>
            <w:r>
              <w:rPr/>
              <w:t>Created when the first audit or review generates a record</w:t>
            </w:r>
          </w:p>
        </w:tc>
        <w:tc>
          <w:tcPr>
            <w:tcW w:w="1833" w:type="dxa"/>
            <w:tcBorders/>
            <w:vAlign w:val="center"/>
          </w:tcPr>
          <w:p>
            <w:pPr>
              <w:pStyle w:val="TableContents"/>
              <w:bidi w:val="0"/>
              <w:spacing w:before="0" w:after="283"/>
              <w:jc w:val="left"/>
              <w:rPr/>
            </w:pPr>
            <w:r>
              <w:rPr/>
              <w:t>Record locations in §11 are defined in advance, not populated</w:t>
            </w:r>
          </w:p>
        </w:tc>
      </w:tr>
      <w:tr>
        <w:trPr/>
        <w:tc>
          <w:tcPr>
            <w:tcW w:w="1427" w:type="dxa"/>
            <w:tcBorders/>
            <w:vAlign w:val="center"/>
          </w:tcPr>
          <w:p>
            <w:pPr>
              <w:pStyle w:val="TableContents"/>
              <w:bidi w:val="0"/>
              <w:spacing w:before="0" w:after="283"/>
              <w:jc w:val="left"/>
              <w:rPr/>
            </w:pPr>
            <w:r>
              <w:rPr/>
              <w:t>No prior findings to weight the programme</w:t>
            </w:r>
          </w:p>
        </w:tc>
        <w:tc>
          <w:tcPr>
            <w:tcW w:w="1469" w:type="dxa"/>
            <w:tcBorders/>
            <w:vAlign w:val="center"/>
          </w:tcPr>
          <w:p>
            <w:pPr>
              <w:pStyle w:val="TableContents"/>
              <w:bidi w:val="0"/>
              <w:spacing w:before="0" w:after="283"/>
              <w:jc w:val="left"/>
              <w:rPr/>
            </w:pPr>
            <w:r>
              <w:rPr/>
              <w:t>9.2.2 a requires results of previous audits to inform the programme; there are none</w:t>
            </w:r>
          </w:p>
        </w:tc>
        <w:tc>
          <w:tcPr>
            <w:tcW w:w="1833" w:type="dxa"/>
            <w:tcBorders/>
            <w:vAlign w:val="center"/>
          </w:tcPr>
          <w:p>
            <w:pPr>
              <w:pStyle w:val="TableContents"/>
              <w:bidi w:val="0"/>
              <w:spacing w:before="0" w:after="283"/>
              <w:jc w:val="left"/>
              <w:rPr/>
            </w:pPr>
            <w:r>
              <w:rPr/>
              <w:t xml:space="preserve">The first cycle is weighted on risk and on the defect history in </w:t>
            </w:r>
            <w:r>
              <w:rPr>
                <w:rStyle w:val="SourceText"/>
              </w:rPr>
              <w:t>SOP-14</w:t>
            </w:r>
            <w:r>
              <w:rPr/>
              <w:t xml:space="preserve"> §9 instead</w:t>
            </w:r>
          </w:p>
        </w:tc>
      </w:tr>
      <w:tr>
        <w:trPr/>
        <w:tc>
          <w:tcPr>
            <w:tcW w:w="1427" w:type="dxa"/>
            <w:tcBorders/>
            <w:vAlign w:val="center"/>
          </w:tcPr>
          <w:p>
            <w:pPr>
              <w:pStyle w:val="TableContents"/>
              <w:bidi w:val="0"/>
              <w:spacing w:before="0" w:after="283"/>
              <w:jc w:val="left"/>
              <w:rPr/>
            </w:pPr>
            <w:r>
              <w:rPr/>
              <w:t>Much of the auditable evidence is in Git commit bodies rather than in records</w:t>
            </w:r>
          </w:p>
        </w:tc>
        <w:tc>
          <w:tcPr>
            <w:tcW w:w="1469" w:type="dxa"/>
            <w:tcBorders/>
            <w:vAlign w:val="center"/>
          </w:tcPr>
          <w:p>
            <w:pPr>
              <w:pStyle w:val="TableContents"/>
              <w:bidi w:val="0"/>
              <w:spacing w:before="0" w:after="283"/>
              <w:jc w:val="left"/>
              <w:rPr/>
            </w:pPr>
            <w:r>
              <w:rPr>
                <w:rStyle w:val="SourceText"/>
              </w:rPr>
              <w:t>SOP-02</w:t>
            </w:r>
            <w:r>
              <w:rPr/>
              <w:t xml:space="preserve"> §4 internal issues; </w:t>
            </w:r>
            <w:r>
              <w:rPr>
                <w:rStyle w:val="SourceText"/>
              </w:rPr>
              <w:t>SOP-01</w:t>
            </w:r>
            <w:r>
              <w:rPr/>
              <w:t xml:space="preserve"> §3</w:t>
            </w:r>
          </w:p>
        </w:tc>
        <w:tc>
          <w:tcPr>
            <w:tcW w:w="1833" w:type="dxa"/>
            <w:tcBorders/>
            <w:vAlign w:val="center"/>
          </w:tcPr>
          <w:p>
            <w:pPr>
              <w:pStyle w:val="TableContents"/>
              <w:bidi w:val="0"/>
              <w:spacing w:before="0" w:after="283"/>
              <w:jc w:val="left"/>
              <w:rPr/>
            </w:pPr>
            <w:r>
              <w:rPr/>
              <w:t>Auditable, but only by an auditor willing and able to read a Git history; slows audit and raises the competence bar in §5</w:t>
            </w:r>
          </w:p>
        </w:tc>
      </w:tr>
    </w:tbl>
    <w:p>
      <w:pPr>
        <w:pStyle w:val="BodyText"/>
        <w:bidi w:val="0"/>
        <w:spacing w:before="0" w:after="283"/>
        <w:jc w:val="left"/>
        <w:rPr/>
      </w:pPr>
      <w:r>
        <w:rPr/>
        <w:t xml:space="preserve">Each gap above is carried into </w:t>
      </w:r>
      <w:r>
        <w:rPr>
          <w:rStyle w:val="SourceText"/>
        </w:rPr>
        <w:t>ISO9001_Gap_Analysis.md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