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SOP-15 — Management Review</w:t>
      </w:r>
    </w:p>
    <w:tbl>
      <w:tblPr>
        <w:tblW w:w="4578" w:type="dxa"/>
        <w:jc w:val="left"/>
        <w:tblInd w:w="0" w:type="dxa"/>
        <w:tblLayout w:type="fixed"/>
        <w:tblCellMar>
          <w:top w:w="28" w:type="dxa"/>
          <w:left w:w="28" w:type="dxa"/>
          <w:bottom w:w="28" w:type="dxa"/>
          <w:right w:w="28" w:type="dxa"/>
        </w:tblCellMar>
      </w:tblPr>
      <w:tblGrid>
        <w:gridCol w:w="1934"/>
        <w:gridCol w:w="2644"/>
      </w:tblGrid>
      <w:tr>
        <w:trPr>
          <w:tblHeader w:val="true"/>
        </w:trPr>
        <w:tc>
          <w:tcPr>
            <w:tcW w:w="1934" w:type="dxa"/>
            <w:tcBorders/>
            <w:vAlign w:val="center"/>
          </w:tcPr>
          <w:p>
            <w:pPr>
              <w:pStyle w:val="TableHeading"/>
              <w:suppressLineNumbers/>
              <w:shd w:fill="1F3A5F" w:val="clear"/>
              <w:bidi w:val="0"/>
              <w:spacing w:before="0" w:after="283"/>
              <w:jc w:val="center"/>
              <w:rPr/>
            </w:pPr>
            <w:r>
              <w:rPr/>
              <w:t>Field</w:t>
            </w:r>
          </w:p>
        </w:tc>
        <w:tc>
          <w:tcPr>
            <w:tcW w:w="2644" w:type="dxa"/>
            <w:tcBorders/>
            <w:vAlign w:val="center"/>
          </w:tcPr>
          <w:p>
            <w:pPr>
              <w:pStyle w:val="TableHeading"/>
              <w:suppressLineNumbers/>
              <w:shd w:fill="1F3A5F" w:val="clear"/>
              <w:bidi w:val="0"/>
              <w:spacing w:before="0" w:after="283"/>
              <w:jc w:val="center"/>
              <w:rPr/>
            </w:pPr>
            <w:r>
              <w:rPr/>
              <w:t>Value</w:t>
            </w:r>
          </w:p>
        </w:tc>
      </w:tr>
      <w:tr>
        <w:trPr/>
        <w:tc>
          <w:tcPr>
            <w:tcW w:w="1934" w:type="dxa"/>
            <w:tcBorders/>
            <w:vAlign w:val="center"/>
          </w:tcPr>
          <w:p>
            <w:pPr>
              <w:pStyle w:val="TableContents"/>
              <w:bidi w:val="0"/>
              <w:spacing w:before="0" w:after="283"/>
              <w:jc w:val="left"/>
              <w:rPr/>
            </w:pPr>
            <w:r>
              <w:rPr/>
              <w:t>Document ID</w:t>
            </w:r>
          </w:p>
        </w:tc>
        <w:tc>
          <w:tcPr>
            <w:tcW w:w="2644" w:type="dxa"/>
            <w:tcBorders/>
            <w:vAlign w:val="center"/>
          </w:tcPr>
          <w:p>
            <w:pPr>
              <w:pStyle w:val="TableContents"/>
              <w:bidi w:val="0"/>
              <w:spacing w:before="0" w:after="283"/>
              <w:jc w:val="left"/>
              <w:rPr/>
            </w:pPr>
            <w:r>
              <w:rPr/>
              <w:t>SOP-15</w:t>
            </w:r>
          </w:p>
        </w:tc>
      </w:tr>
      <w:tr>
        <w:trPr/>
        <w:tc>
          <w:tcPr>
            <w:tcW w:w="1934" w:type="dxa"/>
            <w:tcBorders/>
            <w:vAlign w:val="center"/>
          </w:tcPr>
          <w:p>
            <w:pPr>
              <w:pStyle w:val="TableContents"/>
              <w:bidi w:val="0"/>
              <w:spacing w:before="0" w:after="283"/>
              <w:jc w:val="left"/>
              <w:rPr/>
            </w:pPr>
            <w:r>
              <w:rPr/>
              <w:t>Revision</w:t>
            </w:r>
          </w:p>
        </w:tc>
        <w:tc>
          <w:tcPr>
            <w:tcW w:w="2644" w:type="dxa"/>
            <w:tcBorders/>
            <w:vAlign w:val="center"/>
          </w:tcPr>
          <w:p>
            <w:pPr>
              <w:pStyle w:val="TableContents"/>
              <w:bidi w:val="0"/>
              <w:spacing w:before="0" w:after="283"/>
              <w:jc w:val="left"/>
              <w:rPr/>
            </w:pPr>
            <w:r>
              <w:rPr/>
              <w:t>1.0</w:t>
            </w:r>
          </w:p>
        </w:tc>
      </w:tr>
      <w:tr>
        <w:trPr/>
        <w:tc>
          <w:tcPr>
            <w:tcW w:w="1934" w:type="dxa"/>
            <w:tcBorders/>
            <w:vAlign w:val="center"/>
          </w:tcPr>
          <w:p>
            <w:pPr>
              <w:pStyle w:val="TableContents"/>
              <w:bidi w:val="0"/>
              <w:spacing w:before="0" w:after="283"/>
              <w:jc w:val="left"/>
              <w:rPr/>
            </w:pPr>
            <w:r>
              <w:rPr/>
              <w:t>Status</w:t>
            </w:r>
          </w:p>
        </w:tc>
        <w:tc>
          <w:tcPr>
            <w:tcW w:w="2644" w:type="dxa"/>
            <w:tcBorders/>
            <w:vAlign w:val="center"/>
          </w:tcPr>
          <w:p>
            <w:pPr>
              <w:pStyle w:val="TableContents"/>
              <w:bidi w:val="0"/>
              <w:spacing w:before="0" w:after="283"/>
              <w:jc w:val="left"/>
              <w:rPr/>
            </w:pPr>
            <w:r>
              <w:rPr>
                <w:rStyle w:val="Strong"/>
              </w:rPr>
              <w:t>DRAFT — not yet approved</w:t>
            </w:r>
          </w:p>
        </w:tc>
      </w:tr>
      <w:tr>
        <w:trPr/>
        <w:tc>
          <w:tcPr>
            <w:tcW w:w="1934" w:type="dxa"/>
            <w:tcBorders/>
            <w:vAlign w:val="center"/>
          </w:tcPr>
          <w:p>
            <w:pPr>
              <w:pStyle w:val="TableContents"/>
              <w:bidi w:val="0"/>
              <w:spacing w:before="0" w:after="283"/>
              <w:jc w:val="left"/>
              <w:rPr/>
            </w:pPr>
            <w:r>
              <w:rPr/>
              <w:t>Owner</w:t>
            </w:r>
          </w:p>
        </w:tc>
        <w:tc>
          <w:tcPr>
            <w:tcW w:w="2644" w:type="dxa"/>
            <w:tcBorders/>
            <w:vAlign w:val="center"/>
          </w:tcPr>
          <w:p>
            <w:pPr>
              <w:pStyle w:val="TableContents"/>
              <w:bidi w:val="0"/>
              <w:spacing w:before="0" w:after="283"/>
              <w:jc w:val="left"/>
              <w:rPr/>
            </w:pPr>
            <w:r>
              <w:rPr/>
              <w:t>Managing Director</w:t>
            </w:r>
          </w:p>
        </w:tc>
      </w:tr>
      <w:tr>
        <w:trPr/>
        <w:tc>
          <w:tcPr>
            <w:tcW w:w="1934" w:type="dxa"/>
            <w:tcBorders/>
            <w:vAlign w:val="center"/>
          </w:tcPr>
          <w:p>
            <w:pPr>
              <w:pStyle w:val="TableContents"/>
              <w:bidi w:val="0"/>
              <w:spacing w:before="0" w:after="283"/>
              <w:jc w:val="left"/>
              <w:rPr/>
            </w:pPr>
            <w:r>
              <w:rPr/>
              <w:t>Approved by</w:t>
            </w:r>
          </w:p>
        </w:tc>
        <w:tc>
          <w:tcPr>
            <w:tcW w:w="2644" w:type="dxa"/>
            <w:tcBorders/>
            <w:vAlign w:val="center"/>
          </w:tcPr>
          <w:p>
            <w:pPr>
              <w:pStyle w:val="TableContents"/>
              <w:bidi w:val="0"/>
              <w:spacing w:before="0" w:after="283"/>
              <w:jc w:val="left"/>
              <w:rPr/>
            </w:pPr>
            <w:r>
              <w:rPr>
                <w:rStyle w:val="SourceText"/>
              </w:rPr>
              <w:t>________________________</w:t>
            </w:r>
          </w:p>
        </w:tc>
      </w:tr>
      <w:tr>
        <w:trPr/>
        <w:tc>
          <w:tcPr>
            <w:tcW w:w="1934" w:type="dxa"/>
            <w:tcBorders/>
            <w:vAlign w:val="center"/>
          </w:tcPr>
          <w:p>
            <w:pPr>
              <w:pStyle w:val="TableContents"/>
              <w:bidi w:val="0"/>
              <w:spacing w:before="0" w:after="283"/>
              <w:jc w:val="left"/>
              <w:rPr/>
            </w:pPr>
            <w:r>
              <w:rPr/>
              <w:t>Approval date</w:t>
            </w:r>
          </w:p>
        </w:tc>
        <w:tc>
          <w:tcPr>
            <w:tcW w:w="2644" w:type="dxa"/>
            <w:tcBorders/>
            <w:vAlign w:val="center"/>
          </w:tcPr>
          <w:p>
            <w:pPr>
              <w:pStyle w:val="TableContents"/>
              <w:bidi w:val="0"/>
              <w:spacing w:before="0" w:after="283"/>
              <w:jc w:val="left"/>
              <w:rPr/>
            </w:pPr>
            <w:r>
              <w:rPr>
                <w:rStyle w:val="SourceText"/>
              </w:rPr>
              <w:t>____ / ____ / ________</w:t>
            </w:r>
          </w:p>
        </w:tc>
      </w:tr>
      <w:tr>
        <w:trPr/>
        <w:tc>
          <w:tcPr>
            <w:tcW w:w="1934" w:type="dxa"/>
            <w:tcBorders/>
            <w:vAlign w:val="center"/>
          </w:tcPr>
          <w:p>
            <w:pPr>
              <w:pStyle w:val="TableContents"/>
              <w:bidi w:val="0"/>
              <w:spacing w:before="0" w:after="283"/>
              <w:jc w:val="left"/>
              <w:rPr/>
            </w:pPr>
            <w:r>
              <w:rPr/>
              <w:t>ISO 9001:2015 clauses</w:t>
            </w:r>
          </w:p>
        </w:tc>
        <w:tc>
          <w:tcPr>
            <w:tcW w:w="2644" w:type="dxa"/>
            <w:tcBorders/>
            <w:vAlign w:val="center"/>
          </w:tcPr>
          <w:p>
            <w:pPr>
              <w:pStyle w:val="TableContents"/>
              <w:bidi w:val="0"/>
              <w:spacing w:before="0" w:after="283"/>
              <w:jc w:val="left"/>
              <w:rPr/>
            </w:pPr>
            <w:r>
              <w:rPr/>
              <w:t>5.1, 9.3.1, 9.3.2, 9.3.3</w:t>
            </w:r>
          </w:p>
        </w:tc>
      </w:tr>
    </w:tbl>
    <w:p>
      <w:pPr>
        <w:pStyle w:val="HorizontalLine"/>
        <w:bidi w:val="0"/>
        <w:jc w:val="left"/>
        <w:rPr/>
      </w:pPr>
      <w:r>
        <w:rPr/>
      </w:r>
    </w:p>
    <w:p>
      <w:pPr>
        <w:pStyle w:val="Heading2"/>
        <w:bidi w:val="0"/>
        <w:jc w:val="left"/>
        <w:rPr/>
      </w:pPr>
      <w:r>
        <w:rPr/>
        <w:t>1. Purpose</w:t>
      </w:r>
    </w:p>
    <w:p>
      <w:pPr>
        <w:pStyle w:val="BodyText"/>
        <w:bidi w:val="0"/>
        <w:jc w:val="left"/>
        <w:rPr/>
      </w:pPr>
      <w:r>
        <w:rPr/>
        <w:t>To define how top management at Ajace AI reviews the quality management system (QMS) at planned intervals against real evidence, to ensure its continuing suitability, adequacy, effectiveness and alignment with the strategic direction of the organisation, and to record the decisions that come out of that review.</w:t>
      </w:r>
    </w:p>
    <w:p>
      <w:pPr>
        <w:pStyle w:val="Heading2"/>
        <w:bidi w:val="0"/>
        <w:jc w:val="left"/>
        <w:rPr/>
      </w:pPr>
      <w:r>
        <w:rPr/>
        <w:t>2. Scope</w:t>
      </w:r>
    </w:p>
    <w:p>
      <w:pPr>
        <w:pStyle w:val="BodyText"/>
        <w:bidi w:val="0"/>
        <w:jc w:val="left"/>
        <w:rPr/>
      </w:pPr>
      <w:r>
        <w:rPr/>
        <w:t>The whole QMS and the whole of EchoMind Enterprise. Every input listed in ISO 9001:2015 9.3.2 is considered at every review. Where an input has nothing to report, the minutes say so and say why — "nothing to report" that was actually asked is a finding; an omitted heading is a gap.</w:t>
      </w:r>
    </w:p>
    <w:p>
      <w:pPr>
        <w:pStyle w:val="Heading2"/>
        <w:bidi w:val="0"/>
        <w:jc w:val="left"/>
        <w:rPr/>
      </w:pPr>
      <w:r>
        <w:rPr/>
        <w:t>3. Why this matters in a one-person organisation</w:t>
      </w:r>
    </w:p>
    <w:p>
      <w:pPr>
        <w:pStyle w:val="BodyText"/>
        <w:bidi w:val="0"/>
        <w:jc w:val="left"/>
        <w:rPr/>
      </w:pPr>
      <w:r>
        <w:rPr/>
        <w:t xml:space="preserve">Management review is sometimes treated as a meeting, and a meeting needs more than one person. It is not a meeting. </w:t>
      </w:r>
      <w:r>
        <w:rPr>
          <w:rStyle w:val="Strong"/>
        </w:rPr>
        <w:t>It is the scheduled point at which the organisation stops producing and looks at the evidence of whether what it produced met its objectives.</w:t>
      </w:r>
      <w:r>
        <w:rPr/>
        <w:t xml:space="preserve"> That is as necessary with one person as with a hundred — arguably more so, because with one person there is no colleague whose question forces the reflection.</w:t>
      </w:r>
    </w:p>
    <w:p>
      <w:pPr>
        <w:pStyle w:val="BodyText"/>
        <w:bidi w:val="0"/>
        <w:jc w:val="left"/>
        <w:rPr/>
      </w:pPr>
      <w:r>
        <w:rPr/>
        <w:t xml:space="preserve">What changes with one person is not the substance but the discipline required. Without a second party in the room, the protection against a review that says what the owner already believes is the </w:t>
      </w:r>
      <w:r>
        <w:rPr>
          <w:rStyle w:val="Strong"/>
        </w:rPr>
        <w:t>evidence requirement</w:t>
      </w:r>
      <w:r>
        <w:rPr/>
        <w:t>: every input in §5 must be answered from a named source — a file, a register, an evaluation report, a commit range — and the source must be opened and looked at during the review, not recalled. Minutes that do not cite sources are not minutes of a review that happened.</w:t>
      </w:r>
    </w:p>
    <w:p>
      <w:pPr>
        <w:pStyle w:val="Heading2"/>
        <w:bidi w:val="0"/>
        <w:jc w:val="left"/>
        <w:rPr/>
      </w:pPr>
      <w:r>
        <w:rPr/>
        <w:t>4. Cadence, attendance and preparation (9.3.1)</w:t>
      </w:r>
    </w:p>
    <w:p>
      <w:pPr>
        <w:pStyle w:val="BodyText"/>
        <w:bidi w:val="0"/>
        <w:jc w:val="left"/>
        <w:rPr/>
      </w:pPr>
      <w:r>
        <w:rPr>
          <w:rStyle w:val="Strong"/>
        </w:rPr>
        <w:t>Cadence.</w:t>
      </w:r>
      <w:r>
        <w:rPr/>
        <w:t xml:space="preserve"> Reviews are held </w:t>
      </w:r>
      <w:r>
        <w:rPr>
          <w:rStyle w:val="Strong"/>
        </w:rPr>
        <w:t>quarterly</w:t>
      </w:r>
      <w:r>
        <w:rPr/>
        <w:t xml:space="preserve">, and in any event </w:t>
      </w:r>
      <w:r>
        <w:rPr>
          <w:rStyle w:val="Strong"/>
        </w:rPr>
        <w:t>at least annually</w:t>
      </w:r>
      <w:r>
        <w:rPr/>
        <w:t>. Quarterly is chosen because the product changes fast — 202 commits between 2026-02-05 and 2026-09-21 — and an annual-only cycle would review a system that no longer exists.</w:t>
      </w:r>
    </w:p>
    <w:p>
      <w:pPr>
        <w:pStyle w:val="BodyText"/>
        <w:bidi w:val="0"/>
        <w:jc w:val="left"/>
        <w:rPr/>
      </w:pPr>
      <w:r>
        <w:rPr>
          <w:rStyle w:val="Strong"/>
        </w:rPr>
        <w:t>Additional reviews</w:t>
      </w:r>
      <w:r>
        <w:rPr/>
        <w:t xml:space="preserve"> are convened by the Managing Director on any of:</w:t>
      </w:r>
    </w:p>
    <w:tbl>
      <w:tblPr>
        <w:tblW w:w="4578" w:type="dxa"/>
        <w:jc w:val="left"/>
        <w:tblInd w:w="0" w:type="dxa"/>
        <w:tblLayout w:type="fixed"/>
        <w:tblCellMar>
          <w:top w:w="28" w:type="dxa"/>
          <w:left w:w="28" w:type="dxa"/>
          <w:bottom w:w="28" w:type="dxa"/>
          <w:right w:w="28" w:type="dxa"/>
        </w:tblCellMar>
      </w:tblPr>
      <w:tblGrid>
        <w:gridCol w:w="2187"/>
        <w:gridCol w:w="2391"/>
      </w:tblGrid>
      <w:tr>
        <w:trPr>
          <w:tblHeader w:val="true"/>
        </w:trPr>
        <w:tc>
          <w:tcPr>
            <w:tcW w:w="2187" w:type="dxa"/>
            <w:tcBorders/>
            <w:vAlign w:val="center"/>
          </w:tcPr>
          <w:p>
            <w:pPr>
              <w:pStyle w:val="TableHeading"/>
              <w:suppressLineNumbers/>
              <w:shd w:fill="1F3A5F" w:val="clear"/>
              <w:bidi w:val="0"/>
              <w:spacing w:before="0" w:after="283"/>
              <w:jc w:val="center"/>
              <w:rPr/>
            </w:pPr>
            <w:r>
              <w:rPr/>
              <w:t>Trigger</w:t>
            </w:r>
          </w:p>
        </w:tc>
        <w:tc>
          <w:tcPr>
            <w:tcW w:w="2391" w:type="dxa"/>
            <w:tcBorders/>
            <w:vAlign w:val="center"/>
          </w:tcPr>
          <w:p>
            <w:pPr>
              <w:pStyle w:val="TableHeading"/>
              <w:suppressLineNumbers/>
              <w:shd w:fill="1F3A5F" w:val="clear"/>
              <w:bidi w:val="0"/>
              <w:spacing w:before="0" w:after="283"/>
              <w:jc w:val="center"/>
              <w:rPr/>
            </w:pPr>
            <w:r>
              <w:rPr/>
              <w:t>Reason</w:t>
            </w:r>
          </w:p>
        </w:tc>
      </w:tr>
      <w:tr>
        <w:trPr/>
        <w:tc>
          <w:tcPr>
            <w:tcW w:w="2187" w:type="dxa"/>
            <w:tcBorders/>
            <w:vAlign w:val="center"/>
          </w:tcPr>
          <w:p>
            <w:pPr>
              <w:pStyle w:val="TableContents"/>
              <w:bidi w:val="0"/>
              <w:spacing w:before="0" w:after="283"/>
              <w:jc w:val="left"/>
              <w:rPr/>
            </w:pPr>
            <w:r>
              <w:rPr/>
              <w:t>A major nonconformity (</w:t>
            </w:r>
            <w:r>
              <w:rPr>
                <w:rStyle w:val="SourceText"/>
              </w:rPr>
              <w:t>SOP-13</w:t>
            </w:r>
            <w:r>
              <w:rPr/>
              <w:t xml:space="preserve"> §8)</w:t>
            </w:r>
          </w:p>
        </w:tc>
        <w:tc>
          <w:tcPr>
            <w:tcW w:w="2391" w:type="dxa"/>
            <w:tcBorders/>
            <w:vAlign w:val="center"/>
          </w:tcPr>
          <w:p>
            <w:pPr>
              <w:pStyle w:val="TableContents"/>
              <w:bidi w:val="0"/>
              <w:spacing w:before="0" w:after="283"/>
              <w:jc w:val="left"/>
              <w:rPr/>
            </w:pPr>
            <w:r>
              <w:rPr/>
              <w:t>The QMS failed to prevent something significant</w:t>
            </w:r>
          </w:p>
        </w:tc>
      </w:tr>
      <w:tr>
        <w:trPr/>
        <w:tc>
          <w:tcPr>
            <w:tcW w:w="2187" w:type="dxa"/>
            <w:tcBorders/>
            <w:vAlign w:val="center"/>
          </w:tcPr>
          <w:p>
            <w:pPr>
              <w:pStyle w:val="TableContents"/>
              <w:bidi w:val="0"/>
              <w:spacing w:before="0" w:after="283"/>
              <w:jc w:val="left"/>
              <w:rPr/>
            </w:pPr>
            <w:r>
              <w:rPr/>
              <w:t>An internal audit report</w:t>
            </w:r>
          </w:p>
        </w:tc>
        <w:tc>
          <w:tcPr>
            <w:tcW w:w="2391" w:type="dxa"/>
            <w:tcBorders/>
            <w:vAlign w:val="center"/>
          </w:tcPr>
          <w:p>
            <w:pPr>
              <w:pStyle w:val="TableContents"/>
              <w:bidi w:val="0"/>
              <w:spacing w:before="0" w:after="283"/>
              <w:jc w:val="left"/>
              <w:rPr/>
            </w:pPr>
            <w:r>
              <w:rPr/>
              <w:t>Findings need a decision, not just a record</w:t>
            </w:r>
          </w:p>
        </w:tc>
      </w:tr>
      <w:tr>
        <w:trPr/>
        <w:tc>
          <w:tcPr>
            <w:tcW w:w="2187" w:type="dxa"/>
            <w:tcBorders/>
            <w:vAlign w:val="center"/>
          </w:tcPr>
          <w:p>
            <w:pPr>
              <w:pStyle w:val="TableContents"/>
              <w:bidi w:val="0"/>
              <w:spacing w:before="0" w:after="283"/>
              <w:jc w:val="left"/>
              <w:rPr/>
            </w:pPr>
            <w:r>
              <w:rPr/>
              <w:t>Entry into a new customer sector, or a first production customer</w:t>
            </w:r>
          </w:p>
        </w:tc>
        <w:tc>
          <w:tcPr>
            <w:tcW w:w="2391" w:type="dxa"/>
            <w:tcBorders/>
            <w:vAlign w:val="center"/>
          </w:tcPr>
          <w:p>
            <w:pPr>
              <w:pStyle w:val="TableContents"/>
              <w:bidi w:val="0"/>
              <w:spacing w:before="0" w:after="283"/>
              <w:jc w:val="left"/>
              <w:rPr/>
            </w:pPr>
            <w:r>
              <w:rPr/>
              <w:t>Context and interested parties change materially (</w:t>
            </w:r>
            <w:r>
              <w:rPr>
                <w:rStyle w:val="SourceText"/>
              </w:rPr>
              <w:t>SOP-02</w:t>
            </w:r>
            <w:r>
              <w:rPr/>
              <w:t xml:space="preserve"> §4, §5)</w:t>
            </w:r>
          </w:p>
        </w:tc>
      </w:tr>
      <w:tr>
        <w:trPr/>
        <w:tc>
          <w:tcPr>
            <w:tcW w:w="2187" w:type="dxa"/>
            <w:tcBorders/>
            <w:vAlign w:val="center"/>
          </w:tcPr>
          <w:p>
            <w:pPr>
              <w:pStyle w:val="TableContents"/>
              <w:bidi w:val="0"/>
              <w:spacing w:before="0" w:after="283"/>
              <w:jc w:val="left"/>
              <w:rPr/>
            </w:pPr>
            <w:r>
              <w:rPr/>
              <w:t>A change in the number of people in the organisation</w:t>
            </w:r>
          </w:p>
        </w:tc>
        <w:tc>
          <w:tcPr>
            <w:tcW w:w="2391" w:type="dxa"/>
            <w:tcBorders/>
            <w:vAlign w:val="center"/>
          </w:tcPr>
          <w:p>
            <w:pPr>
              <w:pStyle w:val="TableContents"/>
              <w:bidi w:val="0"/>
              <w:spacing w:before="0" w:after="283"/>
              <w:jc w:val="left"/>
              <w:rPr/>
            </w:pPr>
            <w:r>
              <w:rPr/>
              <w:t>Roles, competence and the audit-impartiality position all change</w:t>
            </w:r>
          </w:p>
        </w:tc>
      </w:tr>
      <w:tr>
        <w:trPr/>
        <w:tc>
          <w:tcPr>
            <w:tcW w:w="2187" w:type="dxa"/>
            <w:tcBorders/>
            <w:vAlign w:val="center"/>
          </w:tcPr>
          <w:p>
            <w:pPr>
              <w:pStyle w:val="TableContents"/>
              <w:bidi w:val="0"/>
              <w:spacing w:before="0" w:after="283"/>
              <w:jc w:val="left"/>
              <w:rPr/>
            </w:pPr>
            <w:r>
              <w:rPr/>
              <w:t>A change of hardware platform or of a core model</w:t>
            </w:r>
          </w:p>
        </w:tc>
        <w:tc>
          <w:tcPr>
            <w:tcW w:w="2391" w:type="dxa"/>
            <w:tcBorders/>
            <w:vAlign w:val="center"/>
          </w:tcPr>
          <w:p>
            <w:pPr>
              <w:pStyle w:val="TableContents"/>
              <w:bidi w:val="0"/>
              <w:spacing w:before="0" w:after="283"/>
              <w:jc w:val="left"/>
              <w:rPr/>
            </w:pPr>
            <w:r>
              <w:rPr/>
              <w:t>Large parts of the verification evidence become historical</w:t>
            </w:r>
          </w:p>
        </w:tc>
      </w:tr>
    </w:tbl>
    <w:p>
      <w:pPr>
        <w:pStyle w:val="BodyText"/>
        <w:bidi w:val="0"/>
        <w:jc w:val="left"/>
        <w:rPr/>
      </w:pPr>
      <w:r>
        <w:rPr>
          <w:rStyle w:val="Strong"/>
        </w:rPr>
        <w:t>Attendance.</w:t>
      </w:r>
      <w:r>
        <w:rPr/>
        <w:t xml:space="preserve"> Top management — currently the Managing Director, who is also the Lead Engineer and sole worker. As the organisation grows, the process owner for each procedure attends for the parts covering their process. Attendance is recorded on </w:t>
      </w:r>
      <w:r>
        <w:rPr>
          <w:rStyle w:val="SourceText"/>
        </w:rPr>
        <w:t>forms/FRM-07_Management_Review_Minutes.md</w:t>
      </w:r>
      <w:r>
        <w:rPr/>
        <w:t>, including where the attendee list is one person.</w:t>
      </w:r>
    </w:p>
    <w:p>
      <w:pPr>
        <w:pStyle w:val="BodyText"/>
        <w:bidi w:val="0"/>
        <w:jc w:val="left"/>
        <w:rPr/>
      </w:pPr>
      <w:r>
        <w:rPr>
          <w:rStyle w:val="Strong"/>
        </w:rPr>
        <w:t>Preparation.</w:t>
      </w:r>
      <w:r>
        <w:rPr/>
        <w:t xml:space="preserve"> Before the review, the Managing Director assembles the evidence pack. The review does not begin until it exists:</w:t>
      </w:r>
    </w:p>
    <w:tbl>
      <w:tblPr>
        <w:tblW w:w="4578" w:type="dxa"/>
        <w:jc w:val="left"/>
        <w:tblInd w:w="0" w:type="dxa"/>
        <w:tblLayout w:type="fixed"/>
        <w:tblCellMar>
          <w:top w:w="28" w:type="dxa"/>
          <w:left w:w="28" w:type="dxa"/>
          <w:bottom w:w="28" w:type="dxa"/>
          <w:right w:w="28" w:type="dxa"/>
        </w:tblCellMar>
      </w:tblPr>
      <w:tblGrid>
        <w:gridCol w:w="1942"/>
        <w:gridCol w:w="2636"/>
      </w:tblGrid>
      <w:tr>
        <w:trPr>
          <w:tblHeader w:val="true"/>
        </w:trPr>
        <w:tc>
          <w:tcPr>
            <w:tcW w:w="1942" w:type="dxa"/>
            <w:tcBorders/>
            <w:vAlign w:val="center"/>
          </w:tcPr>
          <w:p>
            <w:pPr>
              <w:pStyle w:val="TableHeading"/>
              <w:suppressLineNumbers/>
              <w:shd w:fill="1F3A5F" w:val="clear"/>
              <w:bidi w:val="0"/>
              <w:spacing w:before="0" w:after="283"/>
              <w:jc w:val="center"/>
              <w:rPr/>
            </w:pPr>
            <w:r>
              <w:rPr/>
              <w:t>Pack item</w:t>
            </w:r>
          </w:p>
        </w:tc>
        <w:tc>
          <w:tcPr>
            <w:tcW w:w="2636" w:type="dxa"/>
            <w:tcBorders/>
            <w:vAlign w:val="center"/>
          </w:tcPr>
          <w:p>
            <w:pPr>
              <w:pStyle w:val="TableHeading"/>
              <w:suppressLineNumbers/>
              <w:shd w:fill="1F3A5F" w:val="clear"/>
              <w:bidi w:val="0"/>
              <w:spacing w:before="0" w:after="283"/>
              <w:jc w:val="center"/>
              <w:rPr/>
            </w:pPr>
            <w:r>
              <w:rPr/>
              <w:t>Source</w:t>
            </w:r>
          </w:p>
        </w:tc>
      </w:tr>
      <w:tr>
        <w:trPr/>
        <w:tc>
          <w:tcPr>
            <w:tcW w:w="1942" w:type="dxa"/>
            <w:tcBorders/>
            <w:vAlign w:val="center"/>
          </w:tcPr>
          <w:p>
            <w:pPr>
              <w:pStyle w:val="TableContents"/>
              <w:bidi w:val="0"/>
              <w:spacing w:before="0" w:after="283"/>
              <w:jc w:val="left"/>
              <w:rPr/>
            </w:pPr>
            <w:r>
              <w:rPr/>
              <w:t>Previous minutes and the status of every action from them</w:t>
            </w:r>
          </w:p>
        </w:tc>
        <w:tc>
          <w:tcPr>
            <w:tcW w:w="2636" w:type="dxa"/>
            <w:tcBorders/>
            <w:vAlign w:val="center"/>
          </w:tcPr>
          <w:p>
            <w:pPr>
              <w:pStyle w:val="TableContents"/>
              <w:bidi w:val="0"/>
              <w:spacing w:before="0" w:after="283"/>
              <w:jc w:val="left"/>
              <w:rPr/>
            </w:pPr>
            <w:r>
              <w:rPr>
                <w:rStyle w:val="SourceText"/>
              </w:rPr>
              <w:t>docs/qms/records/management-review/</w:t>
            </w:r>
          </w:p>
        </w:tc>
      </w:tr>
      <w:tr>
        <w:trPr/>
        <w:tc>
          <w:tcPr>
            <w:tcW w:w="1942" w:type="dxa"/>
            <w:tcBorders/>
            <w:vAlign w:val="center"/>
          </w:tcPr>
          <w:p>
            <w:pPr>
              <w:pStyle w:val="TableContents"/>
              <w:bidi w:val="0"/>
              <w:spacing w:before="0" w:after="283"/>
              <w:jc w:val="left"/>
              <w:rPr/>
            </w:pPr>
            <w:r>
              <w:rPr/>
              <w:t>Current quality objectives and their measured values</w:t>
            </w:r>
          </w:p>
        </w:tc>
        <w:tc>
          <w:tcPr>
            <w:tcW w:w="2636" w:type="dxa"/>
            <w:tcBorders/>
            <w:vAlign w:val="center"/>
          </w:tcPr>
          <w:p>
            <w:pPr>
              <w:pStyle w:val="TableContents"/>
              <w:bidi w:val="0"/>
              <w:spacing w:before="0" w:after="283"/>
              <w:jc w:val="left"/>
              <w:rPr/>
            </w:pPr>
            <w:r>
              <w:rPr>
                <w:rStyle w:val="SourceText"/>
              </w:rPr>
              <w:t>QO-01</w:t>
            </w:r>
            <w:r>
              <w:rPr/>
              <w:t xml:space="preserve">, and the measurement sources in </w:t>
            </w:r>
            <w:r>
              <w:rPr>
                <w:rStyle w:val="SourceText"/>
              </w:rPr>
              <w:t>SOP-12</w:t>
            </w:r>
          </w:p>
        </w:tc>
      </w:tr>
      <w:tr>
        <w:trPr/>
        <w:tc>
          <w:tcPr>
            <w:tcW w:w="1942" w:type="dxa"/>
            <w:tcBorders/>
            <w:vAlign w:val="center"/>
          </w:tcPr>
          <w:p>
            <w:pPr>
              <w:pStyle w:val="TableContents"/>
              <w:bidi w:val="0"/>
              <w:spacing w:before="0" w:after="283"/>
              <w:jc w:val="left"/>
              <w:rPr/>
            </w:pPr>
            <w:r>
              <w:rPr/>
              <w:t>Latest golden-question evaluation report and its score</w:t>
            </w:r>
          </w:p>
        </w:tc>
        <w:tc>
          <w:tcPr>
            <w:tcW w:w="2636" w:type="dxa"/>
            <w:tcBorders/>
            <w:vAlign w:val="center"/>
          </w:tcPr>
          <w:p>
            <w:pPr>
              <w:pStyle w:val="TableContents"/>
              <w:bidi w:val="0"/>
              <w:spacing w:before="0" w:after="283"/>
              <w:jc w:val="left"/>
              <w:rPr/>
            </w:pPr>
            <w:r>
              <w:rPr>
                <w:rStyle w:val="SourceText"/>
              </w:rPr>
              <w:t>eval/reports/</w:t>
            </w:r>
            <w:r>
              <w:rPr/>
              <w:t xml:space="preserve">, produced by </w:t>
            </w:r>
            <w:r>
              <w:rPr>
                <w:rStyle w:val="SourceText"/>
              </w:rPr>
              <w:t>eval/run_eval.py</w:t>
            </w:r>
          </w:p>
        </w:tc>
      </w:tr>
      <w:tr>
        <w:trPr/>
        <w:tc>
          <w:tcPr>
            <w:tcW w:w="1942" w:type="dxa"/>
            <w:tcBorders/>
            <w:vAlign w:val="center"/>
          </w:tcPr>
          <w:p>
            <w:pPr>
              <w:pStyle w:val="TableContents"/>
              <w:bidi w:val="0"/>
              <w:spacing w:before="0" w:after="283"/>
              <w:jc w:val="left"/>
              <w:rPr/>
            </w:pPr>
            <w:r>
              <w:rPr/>
              <w:t>Latest recorded test runs</w:t>
            </w:r>
          </w:p>
        </w:tc>
        <w:tc>
          <w:tcPr>
            <w:tcW w:w="2636" w:type="dxa"/>
            <w:tcBorders/>
            <w:vAlign w:val="center"/>
          </w:tcPr>
          <w:p>
            <w:pPr>
              <w:pStyle w:val="TableContents"/>
              <w:bidi w:val="0"/>
              <w:spacing w:before="0" w:after="283"/>
              <w:jc w:val="left"/>
              <w:rPr/>
            </w:pPr>
            <w:r>
              <w:rPr>
                <w:rStyle w:val="SourceText"/>
              </w:rPr>
              <w:t>backend/tests/</w:t>
            </w:r>
            <w:r>
              <w:rPr/>
              <w:t xml:space="preserve"> (40 test functions), </w:t>
            </w:r>
            <w:r>
              <w:rPr>
                <w:rStyle w:val="SourceText"/>
              </w:rPr>
              <w:t>voice/tests/</w:t>
            </w:r>
            <w:r>
              <w:rPr/>
              <w:t xml:space="preserve"> (38 test functions)</w:t>
            </w:r>
          </w:p>
        </w:tc>
      </w:tr>
      <w:tr>
        <w:trPr/>
        <w:tc>
          <w:tcPr>
            <w:tcW w:w="1942" w:type="dxa"/>
            <w:tcBorders/>
            <w:vAlign w:val="center"/>
          </w:tcPr>
          <w:p>
            <w:pPr>
              <w:pStyle w:val="TableContents"/>
              <w:bidi w:val="0"/>
              <w:spacing w:before="0" w:after="283"/>
              <w:jc w:val="left"/>
              <w:rPr/>
            </w:pPr>
            <w:r>
              <w:rPr/>
              <w:t>CAPA log, open and closed since last review</w:t>
            </w:r>
          </w:p>
        </w:tc>
        <w:tc>
          <w:tcPr>
            <w:tcW w:w="2636" w:type="dxa"/>
            <w:tcBorders/>
            <w:vAlign w:val="center"/>
          </w:tcPr>
          <w:p>
            <w:pPr>
              <w:pStyle w:val="TableContents"/>
              <w:bidi w:val="0"/>
              <w:spacing w:before="0" w:after="283"/>
              <w:jc w:val="left"/>
              <w:rPr/>
            </w:pPr>
            <w:r>
              <w:rPr>
                <w:rStyle w:val="SourceText"/>
              </w:rPr>
              <w:t>registers/REG-04_Nonconformity_and_CAPA_Log.md</w:t>
            </w:r>
          </w:p>
        </w:tc>
      </w:tr>
      <w:tr>
        <w:trPr/>
        <w:tc>
          <w:tcPr>
            <w:tcW w:w="1942" w:type="dxa"/>
            <w:tcBorders/>
            <w:vAlign w:val="center"/>
          </w:tcPr>
          <w:p>
            <w:pPr>
              <w:pStyle w:val="TableContents"/>
              <w:bidi w:val="0"/>
              <w:spacing w:before="0" w:after="283"/>
              <w:jc w:val="left"/>
              <w:rPr/>
            </w:pPr>
            <w:r>
              <w:rPr/>
              <w:t>Risk register</w:t>
            </w:r>
          </w:p>
        </w:tc>
        <w:tc>
          <w:tcPr>
            <w:tcW w:w="2636" w:type="dxa"/>
            <w:tcBorders/>
            <w:vAlign w:val="center"/>
          </w:tcPr>
          <w:p>
            <w:pPr>
              <w:pStyle w:val="TableContents"/>
              <w:bidi w:val="0"/>
              <w:spacing w:before="0" w:after="283"/>
              <w:jc w:val="left"/>
              <w:rPr/>
            </w:pPr>
            <w:r>
              <w:rPr>
                <w:rStyle w:val="SourceText"/>
              </w:rPr>
              <w:t>registers/REG-03_Risk_Register.md</w:t>
            </w:r>
          </w:p>
        </w:tc>
      </w:tr>
      <w:tr>
        <w:trPr/>
        <w:tc>
          <w:tcPr>
            <w:tcW w:w="1942" w:type="dxa"/>
            <w:tcBorders/>
            <w:vAlign w:val="center"/>
          </w:tcPr>
          <w:p>
            <w:pPr>
              <w:pStyle w:val="TableContents"/>
              <w:bidi w:val="0"/>
              <w:spacing w:before="0" w:after="283"/>
              <w:jc w:val="left"/>
              <w:rPr/>
            </w:pPr>
            <w:r>
              <w:rPr/>
              <w:t>External provider register</w:t>
            </w:r>
          </w:p>
        </w:tc>
        <w:tc>
          <w:tcPr>
            <w:tcW w:w="2636" w:type="dxa"/>
            <w:tcBorders/>
            <w:vAlign w:val="center"/>
          </w:tcPr>
          <w:p>
            <w:pPr>
              <w:pStyle w:val="TableContents"/>
              <w:bidi w:val="0"/>
              <w:spacing w:before="0" w:after="283"/>
              <w:jc w:val="left"/>
              <w:rPr/>
            </w:pPr>
            <w:r>
              <w:rPr>
                <w:rStyle w:val="SourceText"/>
              </w:rPr>
              <w:t>registers/REG-02_External_Documents_and_Providers.md</w:t>
            </w:r>
          </w:p>
        </w:tc>
      </w:tr>
      <w:tr>
        <w:trPr/>
        <w:tc>
          <w:tcPr>
            <w:tcW w:w="1942" w:type="dxa"/>
            <w:tcBorders/>
            <w:vAlign w:val="center"/>
          </w:tcPr>
          <w:p>
            <w:pPr>
              <w:pStyle w:val="TableContents"/>
              <w:bidi w:val="0"/>
              <w:spacing w:before="0" w:after="283"/>
              <w:jc w:val="left"/>
              <w:rPr/>
            </w:pPr>
            <w:r>
              <w:rPr/>
              <w:t>Customer feedback and complaints since last review</w:t>
            </w:r>
          </w:p>
        </w:tc>
        <w:tc>
          <w:tcPr>
            <w:tcW w:w="2636" w:type="dxa"/>
            <w:tcBorders/>
            <w:vAlign w:val="center"/>
          </w:tcPr>
          <w:p>
            <w:pPr>
              <w:pStyle w:val="TableContents"/>
              <w:bidi w:val="0"/>
              <w:spacing w:before="0" w:after="283"/>
              <w:jc w:val="left"/>
              <w:rPr/>
            </w:pPr>
            <w:r>
              <w:rPr/>
              <w:t xml:space="preserve">Completed </w:t>
            </w:r>
            <w:r>
              <w:rPr>
                <w:rStyle w:val="SourceText"/>
              </w:rPr>
              <w:t>FRM-08</w:t>
            </w:r>
            <w:r>
              <w:rPr/>
              <w:t xml:space="preserve"> records</w:t>
            </w:r>
          </w:p>
        </w:tc>
      </w:tr>
      <w:tr>
        <w:trPr/>
        <w:tc>
          <w:tcPr>
            <w:tcW w:w="1942" w:type="dxa"/>
            <w:tcBorders/>
            <w:vAlign w:val="center"/>
          </w:tcPr>
          <w:p>
            <w:pPr>
              <w:pStyle w:val="TableContents"/>
              <w:bidi w:val="0"/>
              <w:spacing w:before="0" w:after="283"/>
              <w:jc w:val="left"/>
              <w:rPr/>
            </w:pPr>
            <w:r>
              <w:rPr/>
              <w:t>Audit reports since last review</w:t>
            </w:r>
          </w:p>
        </w:tc>
        <w:tc>
          <w:tcPr>
            <w:tcW w:w="2636" w:type="dxa"/>
            <w:tcBorders/>
            <w:vAlign w:val="center"/>
          </w:tcPr>
          <w:p>
            <w:pPr>
              <w:pStyle w:val="TableContents"/>
              <w:bidi w:val="0"/>
              <w:spacing w:before="0" w:after="283"/>
              <w:jc w:val="left"/>
              <w:rPr/>
            </w:pPr>
            <w:r>
              <w:rPr/>
              <w:t xml:space="preserve">Completed </w:t>
            </w:r>
            <w:r>
              <w:rPr>
                <w:rStyle w:val="SourceText"/>
              </w:rPr>
              <w:t>FRM-06</w:t>
            </w:r>
            <w:r>
              <w:rPr/>
              <w:t xml:space="preserve"> records</w:t>
            </w:r>
          </w:p>
        </w:tc>
      </w:tr>
      <w:tr>
        <w:trPr/>
        <w:tc>
          <w:tcPr>
            <w:tcW w:w="1942" w:type="dxa"/>
            <w:tcBorders/>
            <w:vAlign w:val="center"/>
          </w:tcPr>
          <w:p>
            <w:pPr>
              <w:pStyle w:val="TableContents"/>
              <w:bidi w:val="0"/>
              <w:spacing w:before="0" w:after="283"/>
              <w:jc w:val="left"/>
              <w:rPr/>
            </w:pPr>
            <w:r>
              <w:rPr/>
              <w:t>Commit range since the last review</w:t>
            </w:r>
          </w:p>
        </w:tc>
        <w:tc>
          <w:tcPr>
            <w:tcW w:w="2636" w:type="dxa"/>
            <w:tcBorders/>
            <w:vAlign w:val="center"/>
          </w:tcPr>
          <w:p>
            <w:pPr>
              <w:pStyle w:val="TableContents"/>
              <w:bidi w:val="0"/>
              <w:spacing w:before="0" w:after="283"/>
              <w:jc w:val="left"/>
              <w:rPr/>
            </w:pPr>
            <w:r>
              <w:rPr>
                <w:rStyle w:val="SourceText"/>
              </w:rPr>
              <w:t>git log &lt;previous review date&gt;..HEAD</w:t>
            </w:r>
          </w:p>
        </w:tc>
      </w:tr>
    </w:tbl>
    <w:p>
      <w:pPr>
        <w:pStyle w:val="Heading2"/>
        <w:bidi w:val="0"/>
        <w:jc w:val="left"/>
        <w:rPr/>
      </w:pPr>
      <w:r>
        <w:rPr/>
        <w:t>5. Standing agenda — the 9.3.2 inputs</w:t>
      </w:r>
    </w:p>
    <w:p>
      <w:pPr>
        <w:pStyle w:val="BodyText"/>
        <w:bidi w:val="0"/>
        <w:jc w:val="left"/>
        <w:rPr/>
      </w:pPr>
      <w:r>
        <w:rPr/>
        <w:t xml:space="preserve">Worked through in this order. Each item names where the evidence actually comes from in this organisation. </w:t>
      </w:r>
      <w:r>
        <w:rPr>
          <w:rStyle w:val="SourceText"/>
        </w:rPr>
        <w:t>forms/FRM-07_Management_Review_Minutes.md</w:t>
      </w:r>
      <w:r>
        <w:rPr/>
        <w:t xml:space="preserve"> mirrors these headings exactly, so the minutes are produced by working down the agenda.</w:t>
      </w:r>
    </w:p>
    <w:p>
      <w:pPr>
        <w:pStyle w:val="Heading3"/>
        <w:bidi w:val="0"/>
        <w:jc w:val="left"/>
        <w:rPr/>
      </w:pPr>
      <w:r>
        <w:rPr/>
        <w:t>5.1 Status of actions from previous management reviews (9.3.2 a)</w:t>
      </w:r>
    </w:p>
    <w:p>
      <w:pPr>
        <w:pStyle w:val="BodyText"/>
        <w:bidi w:val="0"/>
        <w:jc w:val="left"/>
        <w:rPr/>
      </w:pPr>
      <w:r>
        <w:rPr>
          <w:rStyle w:val="Strong"/>
        </w:rPr>
        <w:t>Source:</w:t>
      </w:r>
      <w:r>
        <w:rPr/>
        <w:t xml:space="preserve"> the previous minutes in </w:t>
      </w:r>
      <w:r>
        <w:rPr>
          <w:rStyle w:val="SourceText"/>
        </w:rPr>
        <w:t>docs/qms/records/management-review/</w:t>
      </w:r>
      <w:r>
        <w:rPr/>
        <w:t>.</w:t>
      </w:r>
    </w:p>
    <w:p>
      <w:pPr>
        <w:pStyle w:val="BodyText"/>
        <w:bidi w:val="0"/>
        <w:jc w:val="left"/>
        <w:rPr/>
      </w:pPr>
      <w:r>
        <w:rPr/>
        <w:t>Each open action is listed with its owner, due date and current state: complete, in progress, or overdue. An overdue action is discussed, not silently rolled forward. An action carried over twice without progress is either re-scoped, re-owned or abandoned with the reason recorded — the one thing it may not be is carried a third time unchanged.</w:t>
      </w:r>
    </w:p>
    <w:p>
      <w:pPr>
        <w:pStyle w:val="Heading3"/>
        <w:bidi w:val="0"/>
        <w:jc w:val="left"/>
        <w:rPr/>
      </w:pPr>
      <w:r>
        <w:rPr/>
        <w:t>5.2 Changes in external and internal issues relevant to the QMS (9.3.2 b)</w:t>
      </w:r>
    </w:p>
    <w:p>
      <w:pPr>
        <w:pStyle w:val="BodyText"/>
        <w:bidi w:val="0"/>
        <w:jc w:val="left"/>
        <w:rPr/>
      </w:pPr>
      <w:r>
        <w:rPr>
          <w:rStyle w:val="Strong"/>
        </w:rPr>
        <w:t>Source:</w:t>
      </w:r>
      <w:r>
        <w:rPr/>
        <w:t xml:space="preserve"> </w:t>
      </w:r>
      <w:r>
        <w:rPr>
          <w:rStyle w:val="SourceText"/>
        </w:rPr>
        <w:t>SOP-02</w:t>
      </w:r>
      <w:r>
        <w:rPr/>
        <w:t xml:space="preserve"> §4 (context) and §5 (interested parties), re-read against current reality.</w:t>
      </w:r>
    </w:p>
    <w:p>
      <w:pPr>
        <w:pStyle w:val="BodyText"/>
        <w:bidi w:val="0"/>
        <w:jc w:val="left"/>
        <w:rPr/>
      </w:pPr>
      <w:r>
        <w:rPr/>
        <w:t xml:space="preserve">Specific questions at each review: has a new customer sector been entered? Has the hardware or model platform changed? Has the legal or regulatory position on AI systems moved in a way that affects customers in defence, government, legal, finance or healthcare? Has the dependency supply chain changed? Is the organisation still one person? The determination tables in </w:t>
      </w:r>
      <w:r>
        <w:rPr>
          <w:rStyle w:val="SourceText"/>
        </w:rPr>
        <w:t>SOP-02</w:t>
      </w:r>
      <w:r>
        <w:rPr/>
        <w:t xml:space="preserve"> are amended in the same session if the answer requires it.</w:t>
      </w:r>
    </w:p>
    <w:p>
      <w:pPr>
        <w:pStyle w:val="Heading3"/>
        <w:bidi w:val="0"/>
        <w:jc w:val="left"/>
        <w:rPr/>
      </w:pPr>
      <w:r>
        <w:rPr/>
        <w:t>5.3 Customer satisfaction and feedback from interested parties (9.3.2 c 1)</w:t>
      </w:r>
    </w:p>
    <w:p>
      <w:pPr>
        <w:pStyle w:val="BodyText"/>
        <w:bidi w:val="0"/>
        <w:jc w:val="left"/>
        <w:rPr/>
      </w:pPr>
      <w:r>
        <w:rPr>
          <w:rStyle w:val="Strong"/>
        </w:rPr>
        <w:t>Source:</w:t>
      </w:r>
      <w:r>
        <w:rPr/>
        <w:t xml:space="preserve"> completed </w:t>
      </w:r>
      <w:r>
        <w:rPr>
          <w:rStyle w:val="SourceText"/>
        </w:rPr>
        <w:t>forms/FRM-08_Customer_Feedback_and_Complaint_Record.md</w:t>
      </w:r>
      <w:r>
        <w:rPr/>
        <w:t xml:space="preserve"> records; direct customer and prospect communication; feedback from academic and conference reviewers as an interested party (</w:t>
      </w:r>
      <w:r>
        <w:rPr>
          <w:rStyle w:val="SourceText"/>
        </w:rPr>
        <w:t>SOP-02</w:t>
      </w:r>
      <w:r>
        <w:rPr/>
        <w:t xml:space="preserve"> §5).</w:t>
      </w:r>
    </w:p>
    <w:p>
      <w:pPr>
        <w:pStyle w:val="BodyText"/>
        <w:bidi w:val="0"/>
        <w:jc w:val="left"/>
        <w:rPr/>
      </w:pPr>
      <w:r>
        <w:rPr/>
        <w:t>Where there is no feedback in the period, the minutes record that, and record whether the absence is because there were no customers, because no one was asked, or because a feedback route exists and produced nothing — these mean very different things.</w:t>
      </w:r>
    </w:p>
    <w:p>
      <w:pPr>
        <w:pStyle w:val="Heading3"/>
        <w:bidi w:val="0"/>
        <w:jc w:val="left"/>
        <w:rPr/>
      </w:pPr>
      <w:r>
        <w:rPr/>
        <w:t>5.4 The extent to which quality objectives have been met (9.3.2 c 2)</w:t>
      </w:r>
    </w:p>
    <w:p>
      <w:pPr>
        <w:pStyle w:val="BodyText"/>
        <w:bidi w:val="0"/>
        <w:jc w:val="left"/>
        <w:rPr/>
      </w:pPr>
      <w:r>
        <w:rPr>
          <w:rStyle w:val="Strong"/>
        </w:rPr>
        <w:t>Source:</w:t>
      </w:r>
      <w:r>
        <w:rPr/>
        <w:t xml:space="preserve"> </w:t>
      </w:r>
      <w:r>
        <w:rPr>
          <w:rStyle w:val="SourceText"/>
        </w:rPr>
        <w:t>QO-01</w:t>
      </w:r>
      <w:r>
        <w:rPr/>
        <w:t>.</w:t>
      </w:r>
    </w:p>
    <w:p>
      <w:pPr>
        <w:pStyle w:val="BodyText"/>
        <w:bidi w:val="0"/>
        <w:jc w:val="left"/>
        <w:rPr/>
      </w:pPr>
      <w:r>
        <w:rPr/>
        <w:t xml:space="preserve">Each objective is reported with its target, its measured value, the measurement date and the source of the measurement. An objective that cannot be measured because the measurement does not exist is reported as </w:t>
      </w:r>
      <w:r>
        <w:rPr>
          <w:rStyle w:val="Strong"/>
        </w:rPr>
        <w:t>not measured</w:t>
      </w:r>
      <w:r>
        <w:rPr/>
        <w:t>, never as met. Objectives found to be unmeasurable are revised at this review under 9.3.3 b.</w:t>
      </w:r>
    </w:p>
    <w:p>
      <w:pPr>
        <w:pStyle w:val="Heading3"/>
        <w:bidi w:val="0"/>
        <w:jc w:val="left"/>
        <w:rPr/>
      </w:pPr>
      <w:r>
        <w:rPr/>
        <w:t>5.5 Process performance and conformity of products and services (9.3.2 c 3)</w:t>
      </w:r>
    </w:p>
    <w:p>
      <w:pPr>
        <w:pStyle w:val="BodyText"/>
        <w:bidi w:val="0"/>
        <w:jc w:val="left"/>
        <w:rPr/>
      </w:pPr>
      <w:r>
        <w:rPr>
          <w:rStyle w:val="Strong"/>
        </w:rPr>
        <w:t>Source:</w:t>
      </w:r>
      <w:r>
        <w:rPr/>
        <w:t xml:space="preserve"> </w:t>
      </w:r>
      <w:r>
        <w:rPr>
          <w:rStyle w:val="SourceText"/>
        </w:rPr>
        <w:t>SOP-12</w:t>
      </w:r>
      <w:r>
        <w:rPr/>
        <w:t>; the 52-question golden evaluation (</w:t>
      </w:r>
      <w:r>
        <w:rPr>
          <w:rStyle w:val="SourceText"/>
        </w:rPr>
        <w:t>eval/run_eval.py</w:t>
      </w:r>
      <w:r>
        <w:rPr/>
        <w:t xml:space="preserve">, whose suite gate is binary — </w:t>
      </w:r>
      <w:r>
        <w:rPr>
          <w:rStyle w:val="SourceText"/>
        </w:rPr>
        <w:t>return 0 if total_pass == len(results) else 1</w:t>
      </w:r>
      <w:r>
        <w:rPr/>
        <w:t xml:space="preserve"> at </w:t>
      </w:r>
      <w:r>
        <w:rPr>
          <w:rStyle w:val="SourceText"/>
        </w:rPr>
        <w:t>eval/run_eval.py:281</w:t>
      </w:r>
      <w:r>
        <w:rPr/>
        <w:t>); the unit test suites; container healthchecks; voice per-turn timing logs.</w:t>
      </w:r>
    </w:p>
    <w:p>
      <w:pPr>
        <w:pStyle w:val="BodyText"/>
        <w:bidi w:val="0"/>
        <w:jc w:val="left"/>
        <w:rPr/>
      </w:pPr>
      <w:r>
        <w:rPr/>
        <w:t>Reported at each review:</w:t>
      </w:r>
    </w:p>
    <w:tbl>
      <w:tblPr>
        <w:tblW w:w="4578" w:type="dxa"/>
        <w:jc w:val="left"/>
        <w:tblInd w:w="0" w:type="dxa"/>
        <w:tblLayout w:type="fixed"/>
        <w:tblCellMar>
          <w:top w:w="28" w:type="dxa"/>
          <w:left w:w="28" w:type="dxa"/>
          <w:bottom w:w="28" w:type="dxa"/>
          <w:right w:w="28" w:type="dxa"/>
        </w:tblCellMar>
      </w:tblPr>
      <w:tblGrid>
        <w:gridCol w:w="1544"/>
        <w:gridCol w:w="3034"/>
      </w:tblGrid>
      <w:tr>
        <w:trPr>
          <w:tblHeader w:val="true"/>
        </w:trPr>
        <w:tc>
          <w:tcPr>
            <w:tcW w:w="1544" w:type="dxa"/>
            <w:tcBorders/>
            <w:vAlign w:val="center"/>
          </w:tcPr>
          <w:p>
            <w:pPr>
              <w:pStyle w:val="TableHeading"/>
              <w:suppressLineNumbers/>
              <w:shd w:fill="1F3A5F" w:val="clear"/>
              <w:bidi w:val="0"/>
              <w:spacing w:before="0" w:after="283"/>
              <w:jc w:val="center"/>
              <w:rPr/>
            </w:pPr>
            <w:r>
              <w:rPr/>
              <w:t>Measure</w:t>
            </w:r>
          </w:p>
        </w:tc>
        <w:tc>
          <w:tcPr>
            <w:tcW w:w="3034" w:type="dxa"/>
            <w:tcBorders/>
            <w:vAlign w:val="center"/>
          </w:tcPr>
          <w:p>
            <w:pPr>
              <w:pStyle w:val="TableHeading"/>
              <w:suppressLineNumbers/>
              <w:shd w:fill="1F3A5F" w:val="clear"/>
              <w:bidi w:val="0"/>
              <w:spacing w:before="0" w:after="283"/>
              <w:jc w:val="center"/>
              <w:rPr/>
            </w:pPr>
            <w:r>
              <w:rPr/>
              <w:t>What is reported</w:t>
            </w:r>
          </w:p>
        </w:tc>
      </w:tr>
      <w:tr>
        <w:trPr/>
        <w:tc>
          <w:tcPr>
            <w:tcW w:w="1544" w:type="dxa"/>
            <w:tcBorders/>
            <w:vAlign w:val="center"/>
          </w:tcPr>
          <w:p>
            <w:pPr>
              <w:pStyle w:val="TableContents"/>
              <w:bidi w:val="0"/>
              <w:spacing w:before="0" w:after="283"/>
              <w:jc w:val="left"/>
              <w:rPr/>
            </w:pPr>
            <w:r>
              <w:rPr/>
              <w:t>Golden-question evaluation</w:t>
            </w:r>
          </w:p>
        </w:tc>
        <w:tc>
          <w:tcPr>
            <w:tcW w:w="3034" w:type="dxa"/>
            <w:tcBorders/>
            <w:vAlign w:val="center"/>
          </w:tcPr>
          <w:p>
            <w:pPr>
              <w:pStyle w:val="TableContents"/>
              <w:bidi w:val="0"/>
              <w:spacing w:before="0" w:after="283"/>
              <w:jc w:val="left"/>
              <w:rPr/>
            </w:pPr>
            <w:r>
              <w:rPr/>
              <w:t>Score this period, previous score, direction of travel, and the identity of any item that regressed. Best recorded to date is 50/52; the most recent recorded run is 49/52 on 2026-08-06; 52/52 has never been achieved.</w:t>
            </w:r>
          </w:p>
        </w:tc>
      </w:tr>
      <w:tr>
        <w:trPr/>
        <w:tc>
          <w:tcPr>
            <w:tcW w:w="1544" w:type="dxa"/>
            <w:tcBorders/>
            <w:vAlign w:val="center"/>
          </w:tcPr>
          <w:p>
            <w:pPr>
              <w:pStyle w:val="TableContents"/>
              <w:bidi w:val="0"/>
              <w:spacing w:before="0" w:after="283"/>
              <w:jc w:val="left"/>
              <w:rPr/>
            </w:pPr>
            <w:r>
              <w:rPr/>
              <w:t>Unit tests</w:t>
            </w:r>
          </w:p>
        </w:tc>
        <w:tc>
          <w:tcPr>
            <w:tcW w:w="3034" w:type="dxa"/>
            <w:tcBorders/>
            <w:vAlign w:val="center"/>
          </w:tcPr>
          <w:p>
            <w:pPr>
              <w:pStyle w:val="TableContents"/>
              <w:bidi w:val="0"/>
              <w:spacing w:before="0" w:after="283"/>
              <w:jc w:val="left"/>
              <w:rPr/>
            </w:pPr>
            <w:r>
              <w:rPr/>
              <w:t>Whether they were run, when, and the result</w:t>
            </w:r>
          </w:p>
        </w:tc>
      </w:tr>
      <w:tr>
        <w:trPr/>
        <w:tc>
          <w:tcPr>
            <w:tcW w:w="1544" w:type="dxa"/>
            <w:tcBorders/>
            <w:vAlign w:val="center"/>
          </w:tcPr>
          <w:p>
            <w:pPr>
              <w:pStyle w:val="TableContents"/>
              <w:bidi w:val="0"/>
              <w:spacing w:before="0" w:after="283"/>
              <w:jc w:val="left"/>
              <w:rPr/>
            </w:pPr>
            <w:r>
              <w:rPr/>
              <w:t>Build and deployment</w:t>
            </w:r>
          </w:p>
        </w:tc>
        <w:tc>
          <w:tcPr>
            <w:tcW w:w="3034" w:type="dxa"/>
            <w:tcBorders/>
            <w:vAlign w:val="center"/>
          </w:tcPr>
          <w:p>
            <w:pPr>
              <w:pStyle w:val="TableContents"/>
              <w:bidi w:val="0"/>
              <w:spacing w:before="0" w:after="283"/>
              <w:jc w:val="left"/>
              <w:rPr/>
            </w:pPr>
            <w:r>
              <w:rPr/>
              <w:t>Whether a clean from-scratch rebuild has been performed in the period and whether all six containers came up healthy</w:t>
            </w:r>
          </w:p>
        </w:tc>
      </w:tr>
      <w:tr>
        <w:trPr/>
        <w:tc>
          <w:tcPr>
            <w:tcW w:w="1544" w:type="dxa"/>
            <w:tcBorders/>
            <w:vAlign w:val="center"/>
          </w:tcPr>
          <w:p>
            <w:pPr>
              <w:pStyle w:val="TableContents"/>
              <w:bidi w:val="0"/>
              <w:spacing w:before="0" w:after="283"/>
              <w:jc w:val="left"/>
              <w:rPr/>
            </w:pPr>
            <w:r>
              <w:rPr/>
              <w:t>Runtime health</w:t>
            </w:r>
          </w:p>
        </w:tc>
        <w:tc>
          <w:tcPr>
            <w:tcW w:w="3034" w:type="dxa"/>
            <w:tcBorders/>
            <w:vAlign w:val="center"/>
          </w:tcPr>
          <w:p>
            <w:pPr>
              <w:pStyle w:val="TableContents"/>
              <w:bidi w:val="0"/>
              <w:spacing w:before="0" w:after="283"/>
              <w:jc w:val="left"/>
              <w:rPr/>
            </w:pPr>
            <w:r>
              <w:rPr/>
              <w:t>Healthcheck coverage — currently 4 of 6 services — and any service observed unhealthy</w:t>
            </w:r>
          </w:p>
        </w:tc>
      </w:tr>
      <w:tr>
        <w:trPr/>
        <w:tc>
          <w:tcPr>
            <w:tcW w:w="1544" w:type="dxa"/>
            <w:tcBorders/>
            <w:vAlign w:val="center"/>
          </w:tcPr>
          <w:p>
            <w:pPr>
              <w:pStyle w:val="TableContents"/>
              <w:bidi w:val="0"/>
              <w:spacing w:before="0" w:after="283"/>
              <w:jc w:val="left"/>
              <w:rPr/>
            </w:pPr>
            <w:r>
              <w:rPr/>
              <w:t>Voice performance</w:t>
            </w:r>
          </w:p>
        </w:tc>
        <w:tc>
          <w:tcPr>
            <w:tcW w:w="3034" w:type="dxa"/>
            <w:tcBorders/>
            <w:vAlign w:val="center"/>
          </w:tcPr>
          <w:p>
            <w:pPr>
              <w:pStyle w:val="TableContents"/>
              <w:bidi w:val="0"/>
              <w:spacing w:before="0" w:after="283"/>
              <w:jc w:val="left"/>
              <w:rPr/>
            </w:pPr>
            <w:r>
              <w:rPr/>
              <w:t>Per-turn timing logs against the latency expectation</w:t>
            </w:r>
          </w:p>
        </w:tc>
      </w:tr>
    </w:tbl>
    <w:p>
      <w:pPr>
        <w:pStyle w:val="BodyText"/>
        <w:bidi w:val="0"/>
        <w:jc w:val="left"/>
        <w:rPr/>
      </w:pPr>
      <w:r>
        <w:rPr/>
        <w:t>A measure that was not taken in the period is reported as not taken. The gap between "we did not measure" and "we measured and it was fine" is the whole point of this heading.</w:t>
      </w:r>
    </w:p>
    <w:p>
      <w:pPr>
        <w:pStyle w:val="Heading3"/>
        <w:bidi w:val="0"/>
        <w:jc w:val="left"/>
        <w:rPr/>
      </w:pPr>
      <w:r>
        <w:rPr/>
        <w:t>5.6 Nonconformities and corrective actions (9.3.2 c 4)</w:t>
      </w:r>
    </w:p>
    <w:p>
      <w:pPr>
        <w:pStyle w:val="BodyText"/>
        <w:bidi w:val="0"/>
        <w:jc w:val="left"/>
        <w:rPr/>
      </w:pPr>
      <w:r>
        <w:rPr>
          <w:rStyle w:val="Strong"/>
        </w:rPr>
        <w:t>Source:</w:t>
      </w:r>
      <w:r>
        <w:rPr/>
        <w:t xml:space="preserve"> </w:t>
      </w:r>
      <w:r>
        <w:rPr>
          <w:rStyle w:val="SourceText"/>
        </w:rPr>
        <w:t>registers/REG-04_Nonconformity_and_CAPA_Log.md</w:t>
      </w:r>
      <w:r>
        <w:rPr/>
        <w:t xml:space="preserve"> and completed </w:t>
      </w:r>
      <w:r>
        <w:rPr>
          <w:rStyle w:val="SourceText"/>
        </w:rPr>
        <w:t>FRM-05</w:t>
      </w:r>
      <w:r>
        <w:rPr/>
        <w:t xml:space="preserve"> records.</w:t>
      </w:r>
    </w:p>
    <w:p>
      <w:pPr>
        <w:pStyle w:val="BodyText"/>
        <w:bidi w:val="0"/>
        <w:jc w:val="left"/>
        <w:rPr/>
      </w:pPr>
      <w:r>
        <w:rPr/>
        <w:t xml:space="preserve">Reported: nonconformities raised in the period by source and severity; those closed; those open and overdue; and — specifically — </w:t>
      </w:r>
      <w:r>
        <w:rPr>
          <w:rStyle w:val="Strong"/>
        </w:rPr>
        <w:t>any record closed without documented effectiveness verification</w:t>
      </w:r>
      <w:r>
        <w:rPr/>
        <w:t xml:space="preserve">, which is a nonconformity against </w:t>
      </w:r>
      <w:r>
        <w:rPr>
          <w:rStyle w:val="SourceText"/>
        </w:rPr>
        <w:t>SOP-14</w:t>
      </w:r>
      <w:r>
        <w:rPr/>
        <w:t xml:space="preserve"> §8 in its own right. Trends across cause categories (</w:t>
      </w:r>
      <w:r>
        <w:rPr>
          <w:rStyle w:val="SourceText"/>
        </w:rPr>
        <w:t>SOP-14</w:t>
      </w:r>
      <w:r>
        <w:rPr/>
        <w:t xml:space="preserve"> §7.2) are examined: the same category recurring is a signal about a control, not about the individual defects.</w:t>
      </w:r>
    </w:p>
    <w:p>
      <w:pPr>
        <w:pStyle w:val="Heading3"/>
        <w:bidi w:val="0"/>
        <w:jc w:val="left"/>
        <w:rPr/>
      </w:pPr>
      <w:r>
        <w:rPr/>
        <w:t>5.7 Standing item — the QMS's own open nonconformity on auditor impartiality</w:t>
      </w:r>
    </w:p>
    <w:p>
      <w:pPr>
        <w:pStyle w:val="BodyText"/>
        <w:bidi w:val="0"/>
        <w:jc w:val="left"/>
        <w:rPr/>
      </w:pPr>
      <w:r>
        <w:rPr>
          <w:rStyle w:val="Strong"/>
        </w:rPr>
        <w:t>Source:</w:t>
      </w:r>
      <w:r>
        <w:rPr/>
        <w:t xml:space="preserve"> </w:t>
      </w:r>
      <w:r>
        <w:rPr>
          <w:rStyle w:val="SourceText"/>
        </w:rPr>
        <w:t>SOP-13</w:t>
      </w:r>
      <w:r>
        <w:rPr/>
        <w:t xml:space="preserve"> §5 and §12; </w:t>
      </w:r>
      <w:r>
        <w:rPr>
          <w:rStyle w:val="SourceText"/>
        </w:rPr>
        <w:t>REG-04</w:t>
      </w:r>
      <w:r>
        <w:rPr/>
        <w:t>.</w:t>
      </w:r>
    </w:p>
    <w:p>
      <w:pPr>
        <w:pStyle w:val="BodyText"/>
        <w:bidi w:val="0"/>
        <w:jc w:val="left"/>
        <w:rPr/>
      </w:pPr>
      <w:r>
        <w:rPr/>
        <w:t xml:space="preserve">Until an external or contract auditor is engaged, or a competent second person joins, clause 9.2.2 c cannot be met internally. This is reviewed at </w:t>
      </w:r>
      <w:r>
        <w:rPr>
          <w:rStyle w:val="Strong"/>
        </w:rPr>
        <w:t>every</w:t>
      </w:r>
      <w:r>
        <w:rPr/>
        <w:t xml:space="preserve"> review: what progress has been made towards option (a) or (b) in </w:t>
      </w:r>
      <w:r>
        <w:rPr>
          <w:rStyle w:val="SourceText"/>
        </w:rPr>
        <w:t>SOP-13</w:t>
      </w:r>
      <w:r>
        <w:rPr/>
        <w:t xml:space="preserve"> §5, and whether the interim self-assessment position remains acceptable. It is listed separately from §5.6 so that it cannot quietly age.</w:t>
      </w:r>
    </w:p>
    <w:p>
      <w:pPr>
        <w:pStyle w:val="Heading3"/>
        <w:bidi w:val="0"/>
        <w:jc w:val="left"/>
        <w:rPr/>
      </w:pPr>
      <w:r>
        <w:rPr/>
        <w:t>5.8 Audit results (9.3.2 c 6)</w:t>
      </w:r>
    </w:p>
    <w:p>
      <w:pPr>
        <w:pStyle w:val="BodyText"/>
        <w:bidi w:val="0"/>
        <w:jc w:val="left"/>
        <w:rPr/>
      </w:pPr>
      <w:r>
        <w:rPr>
          <w:rStyle w:val="Strong"/>
        </w:rPr>
        <w:t>Source:</w:t>
      </w:r>
      <w:r>
        <w:rPr/>
        <w:t xml:space="preserve"> completed </w:t>
      </w:r>
      <w:r>
        <w:rPr>
          <w:rStyle w:val="SourceText"/>
        </w:rPr>
        <w:t>forms/FRM-06_Internal_Audit_Report.md</w:t>
      </w:r>
      <w:r>
        <w:rPr/>
        <w:t xml:space="preserve"> reports; </w:t>
      </w:r>
      <w:r>
        <w:rPr>
          <w:rStyle w:val="SourceText"/>
        </w:rPr>
        <w:t>SOP-13</w:t>
      </w:r>
      <w:r>
        <w:rPr/>
        <w:t>.</w:t>
      </w:r>
    </w:p>
    <w:p>
      <w:pPr>
        <w:pStyle w:val="BodyText"/>
        <w:bidi w:val="0"/>
        <w:jc w:val="left"/>
        <w:rPr/>
      </w:pPr>
      <w:r>
        <w:rPr/>
        <w:t xml:space="preserve">Reported: audits conducted in the period against the programme in </w:t>
      </w:r>
      <w:r>
        <w:rPr>
          <w:rStyle w:val="SourceText"/>
        </w:rPr>
        <w:t>SOP-13</w:t>
      </w:r>
      <w:r>
        <w:rPr/>
        <w:t xml:space="preserve"> §4.1; findings by classification; the state of follow-up; and coverage — which clauses in the cycle remain unaudited. Where an audit that was scheduled did not happen, that is reported as a failure of the programme, with the reason.</w:t>
      </w:r>
    </w:p>
    <w:p>
      <w:pPr>
        <w:pStyle w:val="Heading3"/>
        <w:bidi w:val="0"/>
        <w:jc w:val="left"/>
        <w:rPr/>
      </w:pPr>
      <w:r>
        <w:rPr/>
        <w:t>5.9 Monitoring and measurement results (9.3.2 c 5)</w:t>
      </w:r>
    </w:p>
    <w:p>
      <w:pPr>
        <w:pStyle w:val="BodyText"/>
        <w:bidi w:val="0"/>
        <w:jc w:val="left"/>
        <w:rPr/>
      </w:pPr>
      <w:r>
        <w:rPr>
          <w:rStyle w:val="Strong"/>
        </w:rPr>
        <w:t>Source:</w:t>
      </w:r>
      <w:r>
        <w:rPr/>
        <w:t xml:space="preserve"> </w:t>
      </w:r>
      <w:r>
        <w:rPr>
          <w:rStyle w:val="SourceText"/>
        </w:rPr>
        <w:t>SOP-12</w:t>
      </w:r>
      <w:r>
        <w:rPr/>
        <w:t>.</w:t>
      </w:r>
    </w:p>
    <w:p>
      <w:pPr>
        <w:pStyle w:val="BodyText"/>
        <w:bidi w:val="0"/>
        <w:jc w:val="left"/>
        <w:rPr/>
      </w:pPr>
      <w:r>
        <w:rPr/>
        <w:t xml:space="preserve">This heading covers measurement of the QMS itself as distinct from product conformity in §5.5: whether the measurements defined in </w:t>
      </w:r>
      <w:r>
        <w:rPr>
          <w:rStyle w:val="SourceText"/>
        </w:rPr>
        <w:t>SOP-12</w:t>
      </w:r>
      <w:r>
        <w:rPr/>
        <w:t xml:space="preserve"> were actually taken, whether they remain the right measurements, and whether anything is being measured that no one uses.</w:t>
      </w:r>
    </w:p>
    <w:p>
      <w:pPr>
        <w:pStyle w:val="Heading3"/>
        <w:bidi w:val="0"/>
        <w:jc w:val="left"/>
        <w:rPr/>
      </w:pPr>
      <w:r>
        <w:rPr/>
        <w:t>5.10 Performance of external providers (9.3.2 c 7)</w:t>
      </w:r>
    </w:p>
    <w:p>
      <w:pPr>
        <w:pStyle w:val="BodyText"/>
        <w:bidi w:val="0"/>
        <w:jc w:val="left"/>
        <w:rPr/>
      </w:pPr>
      <w:r>
        <w:rPr>
          <w:rStyle w:val="Strong"/>
        </w:rPr>
        <w:t>Source:</w:t>
      </w:r>
      <w:r>
        <w:rPr/>
        <w:t xml:space="preserve"> </w:t>
      </w:r>
      <w:r>
        <w:rPr>
          <w:rStyle w:val="SourceText"/>
        </w:rPr>
        <w:t>registers/REG-02_External_Documents_and_Providers.md</w:t>
      </w:r>
      <w:r>
        <w:rPr/>
        <w:t xml:space="preserve">; </w:t>
      </w:r>
      <w:r>
        <w:rPr>
          <w:rStyle w:val="SourceText"/>
        </w:rPr>
        <w:t>SOP-09</w:t>
      </w:r>
      <w:r>
        <w:rPr/>
        <w:t xml:space="preserve">; completed </w:t>
      </w:r>
      <w:r>
        <w:rPr>
          <w:rStyle w:val="SourceText"/>
        </w:rPr>
        <w:t>FRM-04_Supplier_Evaluation.md</w:t>
      </w:r>
      <w:r>
        <w:rPr/>
        <w:t xml:space="preserve"> records.</w:t>
      </w:r>
    </w:p>
    <w:p>
      <w:pPr>
        <w:pStyle w:val="BodyText"/>
        <w:bidi w:val="0"/>
        <w:jc w:val="left"/>
        <w:rPr/>
      </w:pPr>
      <w:r>
        <w:rPr/>
        <w:t xml:space="preserve">Reported: any provider failure in the period; any component whose version moved when it was relied on not to — the </w:t>
      </w:r>
      <w:r>
        <w:rPr>
          <w:rStyle w:val="SourceText"/>
        </w:rPr>
        <w:t>nemo_toolkit[asr]</w:t>
      </w:r>
      <w:r>
        <w:rPr/>
        <w:t xml:space="preserve"> installation from the moving branch </w:t>
      </w:r>
      <w:r>
        <w:rPr>
          <w:rStyle w:val="SourceText"/>
        </w:rPr>
        <w:t>@main</w:t>
      </w:r>
      <w:r>
        <w:rPr/>
        <w:t xml:space="preserve"> at </w:t>
      </w:r>
      <w:r>
        <w:rPr>
          <w:rStyle w:val="SourceText"/>
        </w:rPr>
        <w:t>backend/Dockerfile:19</w:t>
      </w:r>
      <w:r>
        <w:rPr/>
        <w:t xml:space="preserve"> is a standing item under this heading, having already caused a real outage (commit </w:t>
      </w:r>
      <w:r>
        <w:rPr>
          <w:rStyle w:val="SourceText"/>
        </w:rPr>
        <w:t>724fb98</w:t>
      </w:r>
      <w:r>
        <w:rPr/>
        <w:t>); licence position of each model and component; and any provider due re-evaluation.</w:t>
      </w:r>
    </w:p>
    <w:p>
      <w:pPr>
        <w:pStyle w:val="Heading3"/>
        <w:bidi w:val="0"/>
        <w:jc w:val="left"/>
        <w:rPr/>
      </w:pPr>
      <w:r>
        <w:rPr/>
        <w:t>5.11 Adequacy of resources (9.3.2 d)</w:t>
      </w:r>
    </w:p>
    <w:p>
      <w:pPr>
        <w:pStyle w:val="BodyText"/>
        <w:bidi w:val="0"/>
        <w:jc w:val="left"/>
        <w:rPr/>
      </w:pPr>
      <w:r>
        <w:rPr>
          <w:rStyle w:val="Strong"/>
        </w:rPr>
        <w:t>Source:</w:t>
      </w:r>
      <w:r>
        <w:rPr/>
        <w:t xml:space="preserve"> the Managing Director's assessment, supported by </w:t>
      </w:r>
      <w:r>
        <w:rPr>
          <w:rStyle w:val="SourceText"/>
        </w:rPr>
        <w:t>SOP-03</w:t>
      </w:r>
      <w:r>
        <w:rPr/>
        <w:t xml:space="preserve"> (competence) and the risk register.</w:t>
      </w:r>
    </w:p>
    <w:p>
      <w:pPr>
        <w:pStyle w:val="BodyText"/>
        <w:bidi w:val="0"/>
        <w:jc w:val="left"/>
        <w:rPr/>
      </w:pPr>
      <w:r>
        <w:rPr/>
        <w:t xml:space="preserve">Considered: people — capacity, competence gaps and bus factor 1; infrastructure — GPU memory headroom, storage, and the absence of a backup for the </w:t>
      </w:r>
      <w:r>
        <w:rPr>
          <w:rStyle w:val="SourceText"/>
        </w:rPr>
        <w:t>echomind_data</w:t>
      </w:r>
      <w:r>
        <w:rPr/>
        <w:t xml:space="preserve"> volume; tooling — the absence of CI; and time, which in a one-person organisation is the binding constraint on every other improvement and should be recorded as such rather than treated as unlimited.</w:t>
      </w:r>
    </w:p>
    <w:p>
      <w:pPr>
        <w:pStyle w:val="Heading3"/>
        <w:bidi w:val="0"/>
        <w:jc w:val="left"/>
        <w:rPr/>
      </w:pPr>
      <w:r>
        <w:rPr/>
        <w:t>5.12 Effectiveness of actions taken to address risks and opportunities (9.3.2 e)</w:t>
      </w:r>
    </w:p>
    <w:p>
      <w:pPr>
        <w:pStyle w:val="BodyText"/>
        <w:bidi w:val="0"/>
        <w:jc w:val="left"/>
        <w:rPr/>
      </w:pPr>
      <w:r>
        <w:rPr>
          <w:rStyle w:val="Strong"/>
        </w:rPr>
        <w:t>Source:</w:t>
      </w:r>
      <w:r>
        <w:rPr/>
        <w:t xml:space="preserve"> </w:t>
      </w:r>
      <w:r>
        <w:rPr>
          <w:rStyle w:val="SourceText"/>
        </w:rPr>
        <w:t>registers/REG-03_Risk_Register.md</w:t>
      </w:r>
      <w:r>
        <w:rPr/>
        <w:t xml:space="preserve">; </w:t>
      </w:r>
      <w:r>
        <w:rPr>
          <w:rStyle w:val="SourceText"/>
        </w:rPr>
        <w:t>SOP-02</w:t>
      </w:r>
      <w:r>
        <w:rPr/>
        <w:t xml:space="preserve"> §8.</w:t>
      </w:r>
    </w:p>
    <w:p>
      <w:pPr>
        <w:pStyle w:val="BodyText"/>
        <w:bidi w:val="0"/>
        <w:jc w:val="left"/>
        <w:rPr/>
      </w:pPr>
      <w:r>
        <w:rPr/>
        <w:t xml:space="preserve">For each treated risk the question from </w:t>
      </w:r>
      <w:r>
        <w:rPr>
          <w:rStyle w:val="SourceText"/>
        </w:rPr>
        <w:t>SOP-02</w:t>
      </w:r>
      <w:r>
        <w:rPr/>
        <w:t xml:space="preserve"> §8 is applied: has the risk recurred, and is the evidence cited in the register still true of the code today? A treatment whose cited evidence no longer exists in the codebase is an untreated risk. Risks scored High or Critical are reviewed individually; residual-risk acceptances are re-confirmed or withdrawn.</w:t>
      </w:r>
    </w:p>
    <w:p>
      <w:pPr>
        <w:pStyle w:val="Heading3"/>
        <w:bidi w:val="0"/>
        <w:jc w:val="left"/>
        <w:rPr/>
      </w:pPr>
      <w:r>
        <w:rPr/>
        <w:t>5.13 Opportunities for improvement (9.3.2 f)</w:t>
      </w:r>
    </w:p>
    <w:p>
      <w:pPr>
        <w:pStyle w:val="BodyText"/>
        <w:bidi w:val="0"/>
        <w:jc w:val="left"/>
        <w:rPr/>
      </w:pPr>
      <w:r>
        <w:rPr>
          <w:rStyle w:val="Strong"/>
        </w:rPr>
        <w:t>Source:</w:t>
      </w:r>
      <w:r>
        <w:rPr/>
        <w:t xml:space="preserve"> OFIs in </w:t>
      </w:r>
      <w:r>
        <w:rPr>
          <w:rStyle w:val="SourceText"/>
        </w:rPr>
        <w:t>REG-04</w:t>
      </w:r>
      <w:r>
        <w:rPr/>
        <w:t xml:space="preserve">; audit OFIs; </w:t>
      </w:r>
      <w:r>
        <w:rPr>
          <w:rStyle w:val="SourceText"/>
        </w:rPr>
        <w:t>SOP-14</w:t>
      </w:r>
      <w:r>
        <w:rPr/>
        <w:t xml:space="preserve"> §10.</w:t>
      </w:r>
    </w:p>
    <w:p>
      <w:pPr>
        <w:pStyle w:val="BodyText"/>
        <w:bidi w:val="0"/>
        <w:jc w:val="left"/>
        <w:rPr/>
      </w:pPr>
      <w:r>
        <w:rPr/>
        <w:t>Each is accepted, deferred with a reason, or rejected with a reason. Accepted opportunities become actions under §6 with an owning role and a date.</w:t>
      </w:r>
    </w:p>
    <w:p>
      <w:pPr>
        <w:pStyle w:val="Heading2"/>
        <w:bidi w:val="0"/>
        <w:jc w:val="left"/>
        <w:rPr/>
      </w:pPr>
      <w:r>
        <w:rPr/>
        <w:t>6. Outputs (9.3.3)</w:t>
      </w:r>
    </w:p>
    <w:p>
      <w:pPr>
        <w:pStyle w:val="BodyText"/>
        <w:bidi w:val="0"/>
        <w:jc w:val="left"/>
        <w:rPr/>
      </w:pPr>
      <w:r>
        <w:rPr/>
        <w:t>Every review produces decisions and actions under the three required output headings. An output recorded without an owning role and a date is a comment, not a decision.</w:t>
      </w:r>
    </w:p>
    <w:tbl>
      <w:tblPr>
        <w:tblW w:w="4578" w:type="dxa"/>
        <w:jc w:val="left"/>
        <w:tblInd w:w="0" w:type="dxa"/>
        <w:tblLayout w:type="fixed"/>
        <w:tblCellMar>
          <w:top w:w="28" w:type="dxa"/>
          <w:left w:w="28" w:type="dxa"/>
          <w:bottom w:w="28" w:type="dxa"/>
          <w:right w:w="28" w:type="dxa"/>
        </w:tblCellMar>
      </w:tblPr>
      <w:tblGrid>
        <w:gridCol w:w="1909"/>
        <w:gridCol w:w="2669"/>
      </w:tblGrid>
      <w:tr>
        <w:trPr>
          <w:tblHeader w:val="true"/>
        </w:trPr>
        <w:tc>
          <w:tcPr>
            <w:tcW w:w="1909" w:type="dxa"/>
            <w:tcBorders/>
            <w:vAlign w:val="center"/>
          </w:tcPr>
          <w:p>
            <w:pPr>
              <w:pStyle w:val="TableHeading"/>
              <w:suppressLineNumbers/>
              <w:shd w:fill="1F3A5F" w:val="clear"/>
              <w:bidi w:val="0"/>
              <w:spacing w:before="0" w:after="283"/>
              <w:jc w:val="center"/>
              <w:rPr/>
            </w:pPr>
            <w:r>
              <w:rPr/>
              <w:t>Output (9.3.3)</w:t>
            </w:r>
          </w:p>
        </w:tc>
        <w:tc>
          <w:tcPr>
            <w:tcW w:w="2669" w:type="dxa"/>
            <w:tcBorders/>
            <w:vAlign w:val="center"/>
          </w:tcPr>
          <w:p>
            <w:pPr>
              <w:pStyle w:val="TableHeading"/>
              <w:suppressLineNumbers/>
              <w:shd w:fill="1F3A5F" w:val="clear"/>
              <w:bidi w:val="0"/>
              <w:spacing w:before="0" w:after="283"/>
              <w:jc w:val="center"/>
              <w:rPr/>
            </w:pPr>
            <w:r>
              <w:rPr/>
              <w:t>What is recorded</w:t>
            </w:r>
          </w:p>
        </w:tc>
      </w:tr>
      <w:tr>
        <w:trPr/>
        <w:tc>
          <w:tcPr>
            <w:tcW w:w="1909" w:type="dxa"/>
            <w:tcBorders/>
            <w:vAlign w:val="center"/>
          </w:tcPr>
          <w:p>
            <w:pPr>
              <w:pStyle w:val="TableContents"/>
              <w:bidi w:val="0"/>
              <w:spacing w:before="0" w:after="283"/>
              <w:jc w:val="left"/>
              <w:rPr/>
            </w:pPr>
            <w:r>
              <w:rPr>
                <w:rStyle w:val="Strong"/>
              </w:rPr>
              <w:t>a — Opportunities for improvement</w:t>
            </w:r>
          </w:p>
        </w:tc>
        <w:tc>
          <w:tcPr>
            <w:tcW w:w="2669" w:type="dxa"/>
            <w:tcBorders/>
            <w:vAlign w:val="center"/>
          </w:tcPr>
          <w:p>
            <w:pPr>
              <w:pStyle w:val="TableContents"/>
              <w:bidi w:val="0"/>
              <w:spacing w:before="0" w:after="283"/>
              <w:jc w:val="left"/>
              <w:rPr/>
            </w:pPr>
            <w:r>
              <w:rPr/>
              <w:t>Each accepted opportunity, with the owning role, the target date and how its completion will be recognised</w:t>
            </w:r>
          </w:p>
        </w:tc>
      </w:tr>
      <w:tr>
        <w:trPr/>
        <w:tc>
          <w:tcPr>
            <w:tcW w:w="1909" w:type="dxa"/>
            <w:tcBorders/>
            <w:vAlign w:val="center"/>
          </w:tcPr>
          <w:p>
            <w:pPr>
              <w:pStyle w:val="TableContents"/>
              <w:bidi w:val="0"/>
              <w:spacing w:before="0" w:after="283"/>
              <w:jc w:val="left"/>
              <w:rPr/>
            </w:pPr>
            <w:r>
              <w:rPr>
                <w:rStyle w:val="Strong"/>
              </w:rPr>
              <w:t>b — Any need for changes to the quality management system</w:t>
            </w:r>
          </w:p>
        </w:tc>
        <w:tc>
          <w:tcPr>
            <w:tcW w:w="2669" w:type="dxa"/>
            <w:tcBorders/>
            <w:vAlign w:val="center"/>
          </w:tcPr>
          <w:p>
            <w:pPr>
              <w:pStyle w:val="TableContents"/>
              <w:bidi w:val="0"/>
              <w:spacing w:before="0" w:after="283"/>
              <w:jc w:val="left"/>
              <w:rPr/>
            </w:pPr>
            <w:r>
              <w:rPr/>
              <w:t xml:space="preserve">Changes to procedures, registers, forms, the scope, the quality policy or the quality objectives, each with the document ID affected and the owning role. Changes are implemented under </w:t>
            </w:r>
            <w:r>
              <w:rPr>
                <w:rStyle w:val="SourceText"/>
              </w:rPr>
              <w:t>SOP-01</w:t>
            </w:r>
            <w:r>
              <w:rPr/>
              <w:t xml:space="preserve"> §6.</w:t>
            </w:r>
          </w:p>
        </w:tc>
      </w:tr>
      <w:tr>
        <w:trPr/>
        <w:tc>
          <w:tcPr>
            <w:tcW w:w="1909" w:type="dxa"/>
            <w:tcBorders/>
            <w:vAlign w:val="center"/>
          </w:tcPr>
          <w:p>
            <w:pPr>
              <w:pStyle w:val="TableContents"/>
              <w:bidi w:val="0"/>
              <w:spacing w:before="0" w:after="283"/>
              <w:jc w:val="left"/>
              <w:rPr/>
            </w:pPr>
            <w:r>
              <w:rPr>
                <w:rStyle w:val="Strong"/>
              </w:rPr>
              <w:t>c — Resource needs</w:t>
            </w:r>
          </w:p>
        </w:tc>
        <w:tc>
          <w:tcPr>
            <w:tcW w:w="2669" w:type="dxa"/>
            <w:tcBorders/>
            <w:vAlign w:val="center"/>
          </w:tcPr>
          <w:p>
            <w:pPr>
              <w:pStyle w:val="TableContents"/>
              <w:bidi w:val="0"/>
              <w:spacing w:before="0" w:after="283"/>
              <w:jc w:val="left"/>
              <w:rPr/>
            </w:pPr>
            <w:r>
              <w:rPr/>
              <w:t>People, competence, infrastructure, tooling, time and budget — stated specifically, with what each is needed for, and whether it is approved, deferred or declined</w:t>
            </w:r>
          </w:p>
        </w:tc>
      </w:tr>
    </w:tbl>
    <w:p>
      <w:pPr>
        <w:pStyle w:val="BodyText"/>
        <w:bidi w:val="0"/>
        <w:jc w:val="left"/>
        <w:rPr/>
      </w:pPr>
      <w:r>
        <w:rPr>
          <w:rStyle w:val="Strong"/>
        </w:rPr>
        <w:t>Decisions with no action.</w:t>
      </w:r>
      <w:r>
        <w:rPr/>
        <w:t xml:space="preserve"> Where the review decides to change nothing, that is recorded as a decision with its reasoning. Silence is not a decision.</w:t>
      </w:r>
    </w:p>
    <w:p>
      <w:pPr>
        <w:pStyle w:val="BodyText"/>
        <w:bidi w:val="0"/>
        <w:jc w:val="left"/>
        <w:rPr/>
      </w:pPr>
      <w:r>
        <w:rPr>
          <w:rStyle w:val="Strong"/>
        </w:rPr>
        <w:t>Retention.</w:t>
      </w:r>
      <w:r>
        <w:rPr/>
        <w:t xml:space="preserve"> Minutes are retained as documented information (9.3.3) on </w:t>
      </w:r>
      <w:r>
        <w:rPr>
          <w:rStyle w:val="SourceText"/>
        </w:rPr>
        <w:t>forms/FRM-07_Management_Review_Minutes.md</w:t>
      </w:r>
      <w:r>
        <w:rPr/>
        <w:t xml:space="preserve">, completed, dated and stored under </w:t>
      </w:r>
      <w:r>
        <w:rPr>
          <w:rStyle w:val="SourceText"/>
        </w:rPr>
        <w:t>docs/qms/records/management-review/</w:t>
      </w:r>
      <w:r>
        <w:rPr/>
        <w:t>. The next review date is set before the review closes.</w:t>
      </w:r>
    </w:p>
    <w:p>
      <w:pPr>
        <w:pStyle w:val="Heading2"/>
        <w:bidi w:val="0"/>
        <w:jc w:val="left"/>
        <w:rPr/>
      </w:pPr>
      <w:r>
        <w:rPr/>
        <w:t>7. Leadership commitment (5.1)</w:t>
      </w:r>
    </w:p>
    <w:p>
      <w:pPr>
        <w:pStyle w:val="BodyText"/>
        <w:bidi w:val="0"/>
        <w:jc w:val="left"/>
        <w:rPr/>
      </w:pPr>
      <w:r>
        <w:rPr/>
        <w:t>Clause 5.1 requires top management to demonstrate leadership and commitment with respect to the QMS. In this organisation the demonstration is this procedure being followed on time with real evidence, plus:</w:t>
      </w:r>
    </w:p>
    <w:tbl>
      <w:tblPr>
        <w:tblW w:w="4578" w:type="dxa"/>
        <w:jc w:val="left"/>
        <w:tblInd w:w="0" w:type="dxa"/>
        <w:tblLayout w:type="fixed"/>
        <w:tblCellMar>
          <w:top w:w="28" w:type="dxa"/>
          <w:left w:w="28" w:type="dxa"/>
          <w:bottom w:w="28" w:type="dxa"/>
          <w:right w:w="28" w:type="dxa"/>
        </w:tblCellMar>
      </w:tblPr>
      <w:tblGrid>
        <w:gridCol w:w="2041"/>
        <w:gridCol w:w="2537"/>
      </w:tblGrid>
      <w:tr>
        <w:trPr>
          <w:tblHeader w:val="true"/>
        </w:trPr>
        <w:tc>
          <w:tcPr>
            <w:tcW w:w="2041" w:type="dxa"/>
            <w:tcBorders/>
            <w:vAlign w:val="center"/>
          </w:tcPr>
          <w:p>
            <w:pPr>
              <w:pStyle w:val="TableHeading"/>
              <w:suppressLineNumbers/>
              <w:shd w:fill="1F3A5F" w:val="clear"/>
              <w:bidi w:val="0"/>
              <w:spacing w:before="0" w:after="283"/>
              <w:jc w:val="center"/>
              <w:rPr/>
            </w:pPr>
            <w:r>
              <w:rPr/>
              <w:t>5.1.1 requirement</w:t>
            </w:r>
          </w:p>
        </w:tc>
        <w:tc>
          <w:tcPr>
            <w:tcW w:w="2537" w:type="dxa"/>
            <w:tcBorders/>
            <w:vAlign w:val="center"/>
          </w:tcPr>
          <w:p>
            <w:pPr>
              <w:pStyle w:val="TableHeading"/>
              <w:suppressLineNumbers/>
              <w:shd w:fill="1F3A5F" w:val="clear"/>
              <w:bidi w:val="0"/>
              <w:spacing w:before="0" w:after="283"/>
              <w:jc w:val="center"/>
              <w:rPr/>
            </w:pPr>
            <w:r>
              <w:rPr/>
              <w:t>How it is demonstrated, and where it is visible</w:t>
            </w:r>
          </w:p>
        </w:tc>
      </w:tr>
      <w:tr>
        <w:trPr/>
        <w:tc>
          <w:tcPr>
            <w:tcW w:w="2041" w:type="dxa"/>
            <w:tcBorders/>
            <w:vAlign w:val="center"/>
          </w:tcPr>
          <w:p>
            <w:pPr>
              <w:pStyle w:val="TableContents"/>
              <w:bidi w:val="0"/>
              <w:spacing w:before="0" w:after="283"/>
              <w:jc w:val="left"/>
              <w:rPr/>
            </w:pPr>
            <w:r>
              <w:rPr/>
              <w:t>Accountability for the effectiveness of the QMS</w:t>
            </w:r>
          </w:p>
        </w:tc>
        <w:tc>
          <w:tcPr>
            <w:tcW w:w="2537" w:type="dxa"/>
            <w:tcBorders/>
            <w:vAlign w:val="center"/>
          </w:tcPr>
          <w:p>
            <w:pPr>
              <w:pStyle w:val="TableContents"/>
              <w:bidi w:val="0"/>
              <w:spacing w:before="0" w:after="283"/>
              <w:jc w:val="left"/>
              <w:rPr/>
            </w:pPr>
            <w:r>
              <w:rPr/>
              <w:t xml:space="preserve">The Managing Director owns every procedure in </w:t>
            </w:r>
            <w:r>
              <w:rPr>
                <w:rStyle w:val="SourceText"/>
              </w:rPr>
              <w:t>docs/qms/procedures/</w:t>
            </w:r>
            <w:r>
              <w:rPr/>
              <w:t xml:space="preserve"> and authorises every closure under </w:t>
            </w:r>
            <w:r>
              <w:rPr>
                <w:rStyle w:val="SourceText"/>
              </w:rPr>
              <w:t>SOP-14</w:t>
            </w:r>
          </w:p>
        </w:tc>
      </w:tr>
      <w:tr>
        <w:trPr/>
        <w:tc>
          <w:tcPr>
            <w:tcW w:w="2041" w:type="dxa"/>
            <w:tcBorders/>
            <w:vAlign w:val="center"/>
          </w:tcPr>
          <w:p>
            <w:pPr>
              <w:pStyle w:val="TableContents"/>
              <w:bidi w:val="0"/>
              <w:spacing w:before="0" w:after="283"/>
              <w:jc w:val="left"/>
              <w:rPr/>
            </w:pPr>
            <w:r>
              <w:rPr/>
              <w:t>Quality policy and objectives established and compatible with strategic direction</w:t>
            </w:r>
          </w:p>
        </w:tc>
        <w:tc>
          <w:tcPr>
            <w:tcW w:w="2537" w:type="dxa"/>
            <w:tcBorders/>
            <w:vAlign w:val="center"/>
          </w:tcPr>
          <w:p>
            <w:pPr>
              <w:pStyle w:val="TableContents"/>
              <w:bidi w:val="0"/>
              <w:spacing w:before="0" w:after="283"/>
              <w:jc w:val="left"/>
              <w:rPr/>
            </w:pPr>
            <w:r>
              <w:rPr>
                <w:rStyle w:val="SourceText"/>
              </w:rPr>
              <w:t>QP-01</w:t>
            </w:r>
            <w:r>
              <w:rPr/>
              <w:t xml:space="preserve">, </w:t>
            </w:r>
            <w:r>
              <w:rPr>
                <w:rStyle w:val="SourceText"/>
              </w:rPr>
              <w:t>QO-01</w:t>
            </w:r>
            <w:r>
              <w:rPr/>
              <w:t>; reviewed at §5.2 and §5.4</w:t>
            </w:r>
          </w:p>
        </w:tc>
      </w:tr>
      <w:tr>
        <w:trPr/>
        <w:tc>
          <w:tcPr>
            <w:tcW w:w="2041" w:type="dxa"/>
            <w:tcBorders/>
            <w:vAlign w:val="center"/>
          </w:tcPr>
          <w:p>
            <w:pPr>
              <w:pStyle w:val="TableContents"/>
              <w:bidi w:val="0"/>
              <w:spacing w:before="0" w:after="283"/>
              <w:jc w:val="left"/>
              <w:rPr/>
            </w:pPr>
            <w:r>
              <w:rPr/>
              <w:t>Integration of QMS requirements into business processes</w:t>
            </w:r>
          </w:p>
        </w:tc>
        <w:tc>
          <w:tcPr>
            <w:tcW w:w="2537" w:type="dxa"/>
            <w:tcBorders/>
            <w:vAlign w:val="center"/>
          </w:tcPr>
          <w:p>
            <w:pPr>
              <w:pStyle w:val="TableContents"/>
              <w:bidi w:val="0"/>
              <w:spacing w:before="0" w:after="283"/>
              <w:jc w:val="left"/>
              <w:rPr/>
            </w:pPr>
            <w:r>
              <w:rPr/>
              <w:t>The QMS uses Git as its control mechanism rather than a parallel system (</w:t>
            </w:r>
            <w:r>
              <w:rPr>
                <w:rStyle w:val="SourceText"/>
              </w:rPr>
              <w:t>SOP-01</w:t>
            </w:r>
            <w:r>
              <w:rPr/>
              <w:t xml:space="preserve"> §3)</w:t>
            </w:r>
          </w:p>
        </w:tc>
      </w:tr>
      <w:tr>
        <w:trPr/>
        <w:tc>
          <w:tcPr>
            <w:tcW w:w="2041" w:type="dxa"/>
            <w:tcBorders/>
            <w:vAlign w:val="center"/>
          </w:tcPr>
          <w:p>
            <w:pPr>
              <w:pStyle w:val="TableContents"/>
              <w:bidi w:val="0"/>
              <w:spacing w:before="0" w:after="283"/>
              <w:jc w:val="left"/>
              <w:rPr/>
            </w:pPr>
            <w:r>
              <w:rPr/>
              <w:t>Promoting the process approach and risk-based thinking</w:t>
            </w:r>
          </w:p>
        </w:tc>
        <w:tc>
          <w:tcPr>
            <w:tcW w:w="2537" w:type="dxa"/>
            <w:tcBorders/>
            <w:vAlign w:val="center"/>
          </w:tcPr>
          <w:p>
            <w:pPr>
              <w:pStyle w:val="TableContents"/>
              <w:bidi w:val="0"/>
              <w:spacing w:before="0" w:after="283"/>
              <w:jc w:val="left"/>
              <w:rPr/>
            </w:pPr>
            <w:r>
              <w:rPr>
                <w:rStyle w:val="SourceText"/>
              </w:rPr>
              <w:t>SOP-02</w:t>
            </w:r>
            <w:r>
              <w:rPr/>
              <w:t xml:space="preserve"> §6–§8</w:t>
            </w:r>
          </w:p>
        </w:tc>
      </w:tr>
      <w:tr>
        <w:trPr/>
        <w:tc>
          <w:tcPr>
            <w:tcW w:w="2041" w:type="dxa"/>
            <w:tcBorders/>
            <w:vAlign w:val="center"/>
          </w:tcPr>
          <w:p>
            <w:pPr>
              <w:pStyle w:val="TableContents"/>
              <w:bidi w:val="0"/>
              <w:spacing w:before="0" w:after="283"/>
              <w:jc w:val="left"/>
              <w:rPr/>
            </w:pPr>
            <w:r>
              <w:rPr/>
              <w:t>Ensuring resources are available</w:t>
            </w:r>
          </w:p>
        </w:tc>
        <w:tc>
          <w:tcPr>
            <w:tcW w:w="2537" w:type="dxa"/>
            <w:tcBorders/>
            <w:vAlign w:val="center"/>
          </w:tcPr>
          <w:p>
            <w:pPr>
              <w:pStyle w:val="TableContents"/>
              <w:bidi w:val="0"/>
              <w:spacing w:before="0" w:after="283"/>
              <w:jc w:val="left"/>
              <w:rPr/>
            </w:pPr>
            <w:r>
              <w:rPr/>
              <w:t>§5.11 and §6 c</w:t>
            </w:r>
          </w:p>
        </w:tc>
      </w:tr>
      <w:tr>
        <w:trPr/>
        <w:tc>
          <w:tcPr>
            <w:tcW w:w="2041" w:type="dxa"/>
            <w:tcBorders/>
            <w:vAlign w:val="center"/>
          </w:tcPr>
          <w:p>
            <w:pPr>
              <w:pStyle w:val="TableContents"/>
              <w:bidi w:val="0"/>
              <w:spacing w:before="0" w:after="283"/>
              <w:jc w:val="left"/>
              <w:rPr/>
            </w:pPr>
            <w:r>
              <w:rPr/>
              <w:t>Communicating the importance of effective quality management</w:t>
            </w:r>
          </w:p>
        </w:tc>
        <w:tc>
          <w:tcPr>
            <w:tcW w:w="2537" w:type="dxa"/>
            <w:tcBorders/>
            <w:vAlign w:val="center"/>
          </w:tcPr>
          <w:p>
            <w:pPr>
              <w:pStyle w:val="TableContents"/>
              <w:bidi w:val="0"/>
              <w:spacing w:before="0" w:after="283"/>
              <w:jc w:val="left"/>
              <w:rPr/>
            </w:pPr>
            <w:r>
              <w:rPr/>
              <w:t xml:space="preserve">Applies once there is more than one person; recorded in </w:t>
            </w:r>
            <w:r>
              <w:rPr>
                <w:rStyle w:val="SourceText"/>
              </w:rPr>
              <w:t>registers/REG-05_Competence_and_Training_Record.md</w:t>
            </w:r>
          </w:p>
        </w:tc>
      </w:tr>
      <w:tr>
        <w:trPr/>
        <w:tc>
          <w:tcPr>
            <w:tcW w:w="2041" w:type="dxa"/>
            <w:tcBorders/>
            <w:vAlign w:val="center"/>
          </w:tcPr>
          <w:p>
            <w:pPr>
              <w:pStyle w:val="TableContents"/>
              <w:bidi w:val="0"/>
              <w:spacing w:before="0" w:after="283"/>
              <w:jc w:val="left"/>
              <w:rPr/>
            </w:pPr>
            <w:r>
              <w:rPr/>
              <w:t>Ensuring the QMS achieves its intended results</w:t>
            </w:r>
          </w:p>
        </w:tc>
        <w:tc>
          <w:tcPr>
            <w:tcW w:w="2537" w:type="dxa"/>
            <w:tcBorders/>
            <w:vAlign w:val="center"/>
          </w:tcPr>
          <w:p>
            <w:pPr>
              <w:pStyle w:val="TableContents"/>
              <w:bidi w:val="0"/>
              <w:spacing w:before="0" w:after="283"/>
              <w:jc w:val="left"/>
              <w:rPr/>
            </w:pPr>
            <w:r>
              <w:rPr/>
              <w:t>§5.4, §5.5 and the review conclusion</w:t>
            </w:r>
          </w:p>
        </w:tc>
      </w:tr>
      <w:tr>
        <w:trPr/>
        <w:tc>
          <w:tcPr>
            <w:tcW w:w="2041" w:type="dxa"/>
            <w:tcBorders/>
            <w:vAlign w:val="center"/>
          </w:tcPr>
          <w:p>
            <w:pPr>
              <w:pStyle w:val="TableContents"/>
              <w:bidi w:val="0"/>
              <w:spacing w:before="0" w:after="283"/>
              <w:jc w:val="left"/>
              <w:rPr/>
            </w:pPr>
            <w:r>
              <w:rPr/>
              <w:t>Engaging, directing and supporting persons</w:t>
            </w:r>
          </w:p>
        </w:tc>
        <w:tc>
          <w:tcPr>
            <w:tcW w:w="2537" w:type="dxa"/>
            <w:tcBorders/>
            <w:vAlign w:val="center"/>
          </w:tcPr>
          <w:p>
            <w:pPr>
              <w:pStyle w:val="TableContents"/>
              <w:bidi w:val="0"/>
              <w:spacing w:before="0" w:after="283"/>
              <w:jc w:val="left"/>
              <w:rPr/>
            </w:pPr>
            <w:r>
              <w:rPr/>
              <w:t>As above, once there is more than one person</w:t>
            </w:r>
          </w:p>
        </w:tc>
      </w:tr>
      <w:tr>
        <w:trPr/>
        <w:tc>
          <w:tcPr>
            <w:tcW w:w="2041" w:type="dxa"/>
            <w:tcBorders/>
            <w:vAlign w:val="center"/>
          </w:tcPr>
          <w:p>
            <w:pPr>
              <w:pStyle w:val="TableContents"/>
              <w:bidi w:val="0"/>
              <w:spacing w:before="0" w:after="283"/>
              <w:jc w:val="left"/>
              <w:rPr/>
            </w:pPr>
            <w:r>
              <w:rPr/>
              <w:t>Promoting improvement</w:t>
            </w:r>
          </w:p>
        </w:tc>
        <w:tc>
          <w:tcPr>
            <w:tcW w:w="2537" w:type="dxa"/>
            <w:tcBorders/>
            <w:vAlign w:val="center"/>
          </w:tcPr>
          <w:p>
            <w:pPr>
              <w:pStyle w:val="TableContents"/>
              <w:bidi w:val="0"/>
              <w:spacing w:before="0" w:after="283"/>
              <w:jc w:val="left"/>
              <w:rPr/>
            </w:pPr>
            <w:r>
              <w:rPr/>
              <w:t xml:space="preserve">§5.13, §6 a, </w:t>
            </w:r>
            <w:r>
              <w:rPr>
                <w:rStyle w:val="SourceText"/>
              </w:rPr>
              <w:t>SOP-14</w:t>
            </w:r>
            <w:r>
              <w:rPr/>
              <w:t xml:space="preserve"> §10</w:t>
            </w:r>
          </w:p>
        </w:tc>
      </w:tr>
      <w:tr>
        <w:trPr/>
        <w:tc>
          <w:tcPr>
            <w:tcW w:w="2041" w:type="dxa"/>
            <w:tcBorders/>
            <w:vAlign w:val="center"/>
          </w:tcPr>
          <w:p>
            <w:pPr>
              <w:pStyle w:val="TableContents"/>
              <w:bidi w:val="0"/>
              <w:spacing w:before="0" w:after="283"/>
              <w:jc w:val="left"/>
              <w:rPr/>
            </w:pPr>
            <w:r>
              <w:rPr/>
              <w:t>Supporting other relevant management roles</w:t>
            </w:r>
          </w:p>
        </w:tc>
        <w:tc>
          <w:tcPr>
            <w:tcW w:w="2537" w:type="dxa"/>
            <w:tcBorders/>
            <w:vAlign w:val="center"/>
          </w:tcPr>
          <w:p>
            <w:pPr>
              <w:pStyle w:val="TableContents"/>
              <w:bidi w:val="0"/>
              <w:spacing w:before="0" w:after="283"/>
              <w:jc w:val="left"/>
              <w:rPr/>
            </w:pPr>
            <w:r>
              <w:rPr/>
              <w:t>As above</w:t>
            </w:r>
          </w:p>
        </w:tc>
      </w:tr>
    </w:tbl>
    <w:p>
      <w:pPr>
        <w:pStyle w:val="BodyText"/>
        <w:bidi w:val="0"/>
        <w:jc w:val="left"/>
        <w:rPr/>
      </w:pPr>
      <w:r>
        <w:rPr>
          <w:rStyle w:val="Strong"/>
        </w:rPr>
        <w:t>The honest statement of commitment for this organisation</w:t>
      </w:r>
      <w:r>
        <w:rPr/>
        <w:t xml:space="preserve"> is that the QMS was written to describe what actually happens, with the gaps written down rather than papered over. That is checkable: every procedure ends with a </w:t>
      </w:r>
      <w:r>
        <w:rPr>
          <w:rStyle w:val="Emphasis"/>
        </w:rPr>
        <w:t>Current state and gaps</w:t>
      </w:r>
      <w:r>
        <w:rPr/>
        <w:t xml:space="preserve"> section, and each one is unflattering.</w:t>
      </w:r>
    </w:p>
    <w:p>
      <w:pPr>
        <w:pStyle w:val="Heading2"/>
        <w:bidi w:val="0"/>
        <w:jc w:val="left"/>
        <w:rPr/>
      </w:pPr>
      <w:r>
        <w:rPr/>
        <w:t>8. Records</w:t>
      </w:r>
    </w:p>
    <w:tbl>
      <w:tblPr>
        <w:tblW w:w="4578" w:type="dxa"/>
        <w:jc w:val="left"/>
        <w:tblInd w:w="0" w:type="dxa"/>
        <w:tblLayout w:type="fixed"/>
        <w:tblCellMar>
          <w:top w:w="28" w:type="dxa"/>
          <w:left w:w="28" w:type="dxa"/>
          <w:bottom w:w="28" w:type="dxa"/>
          <w:right w:w="28" w:type="dxa"/>
        </w:tblCellMar>
      </w:tblPr>
      <w:tblGrid>
        <w:gridCol w:w="1314"/>
        <w:gridCol w:w="2199"/>
        <w:gridCol w:w="1065"/>
      </w:tblGrid>
      <w:tr>
        <w:trPr>
          <w:tblHeader w:val="true"/>
        </w:trPr>
        <w:tc>
          <w:tcPr>
            <w:tcW w:w="1314" w:type="dxa"/>
            <w:tcBorders/>
            <w:vAlign w:val="center"/>
          </w:tcPr>
          <w:p>
            <w:pPr>
              <w:pStyle w:val="TableHeading"/>
              <w:suppressLineNumbers/>
              <w:shd w:fill="1F3A5F" w:val="clear"/>
              <w:bidi w:val="0"/>
              <w:spacing w:before="0" w:after="283"/>
              <w:jc w:val="center"/>
              <w:rPr/>
            </w:pPr>
            <w:r>
              <w:rPr/>
              <w:t>Record</w:t>
            </w:r>
          </w:p>
        </w:tc>
        <w:tc>
          <w:tcPr>
            <w:tcW w:w="2199" w:type="dxa"/>
            <w:tcBorders/>
            <w:vAlign w:val="center"/>
          </w:tcPr>
          <w:p>
            <w:pPr>
              <w:pStyle w:val="TableHeading"/>
              <w:suppressLineNumbers/>
              <w:shd w:fill="1F3A5F" w:val="clear"/>
              <w:bidi w:val="0"/>
              <w:spacing w:before="0" w:after="283"/>
              <w:jc w:val="center"/>
              <w:rPr/>
            </w:pPr>
            <w:r>
              <w:rPr/>
              <w:t>Location</w:t>
            </w:r>
          </w:p>
        </w:tc>
        <w:tc>
          <w:tcPr>
            <w:tcW w:w="1065" w:type="dxa"/>
            <w:tcBorders/>
            <w:vAlign w:val="center"/>
          </w:tcPr>
          <w:p>
            <w:pPr>
              <w:pStyle w:val="TableHeading"/>
              <w:suppressLineNumbers/>
              <w:shd w:fill="1F3A5F" w:val="clear"/>
              <w:bidi w:val="0"/>
              <w:spacing w:before="0" w:after="283"/>
              <w:jc w:val="center"/>
              <w:rPr/>
            </w:pPr>
            <w:r>
              <w:rPr/>
              <w:t>Retention</w:t>
            </w:r>
          </w:p>
        </w:tc>
      </w:tr>
      <w:tr>
        <w:trPr/>
        <w:tc>
          <w:tcPr>
            <w:tcW w:w="1314" w:type="dxa"/>
            <w:tcBorders/>
            <w:vAlign w:val="center"/>
          </w:tcPr>
          <w:p>
            <w:pPr>
              <w:pStyle w:val="TableContents"/>
              <w:bidi w:val="0"/>
              <w:spacing w:before="0" w:after="283"/>
              <w:jc w:val="left"/>
              <w:rPr/>
            </w:pPr>
            <w:r>
              <w:rPr/>
              <w:t>Management review minutes, including inputs considered, decisions and actions</w:t>
            </w:r>
          </w:p>
        </w:tc>
        <w:tc>
          <w:tcPr>
            <w:tcW w:w="2199" w:type="dxa"/>
            <w:tcBorders/>
            <w:vAlign w:val="center"/>
          </w:tcPr>
          <w:p>
            <w:pPr>
              <w:pStyle w:val="TableContents"/>
              <w:bidi w:val="0"/>
              <w:spacing w:before="0" w:after="283"/>
              <w:jc w:val="left"/>
              <w:rPr/>
            </w:pPr>
            <w:r>
              <w:rPr/>
              <w:t xml:space="preserve">Completed copy of </w:t>
            </w:r>
            <w:r>
              <w:rPr>
                <w:rStyle w:val="SourceText"/>
              </w:rPr>
              <w:t>forms/FRM-07_Management_Review_Minutes.md</w:t>
            </w:r>
            <w:r>
              <w:rPr/>
              <w:t xml:space="preserve">, stored under </w:t>
            </w:r>
            <w:r>
              <w:rPr>
                <w:rStyle w:val="SourceText"/>
              </w:rPr>
              <w:t>docs/qms/records/management-review/</w:t>
            </w:r>
          </w:p>
        </w:tc>
        <w:tc>
          <w:tcPr>
            <w:tcW w:w="1065" w:type="dxa"/>
            <w:tcBorders/>
            <w:vAlign w:val="center"/>
          </w:tcPr>
          <w:p>
            <w:pPr>
              <w:pStyle w:val="TableContents"/>
              <w:bidi w:val="0"/>
              <w:spacing w:before="0" w:after="283"/>
              <w:jc w:val="left"/>
              <w:rPr/>
            </w:pPr>
            <w:r>
              <w:rPr/>
              <w:t>3 years (</w:t>
            </w:r>
            <w:r>
              <w:rPr>
                <w:rStyle w:val="SourceText"/>
              </w:rPr>
              <w:t>SOP-01</w:t>
            </w:r>
            <w:r>
              <w:rPr/>
              <w:t xml:space="preserve"> §8)</w:t>
            </w:r>
          </w:p>
        </w:tc>
      </w:tr>
      <w:tr>
        <w:trPr/>
        <w:tc>
          <w:tcPr>
            <w:tcW w:w="1314" w:type="dxa"/>
            <w:tcBorders/>
            <w:vAlign w:val="center"/>
          </w:tcPr>
          <w:p>
            <w:pPr>
              <w:pStyle w:val="TableContents"/>
              <w:bidi w:val="0"/>
              <w:spacing w:before="0" w:after="283"/>
              <w:jc w:val="left"/>
              <w:rPr/>
            </w:pPr>
            <w:r>
              <w:rPr/>
              <w:t>Evidence pack referenced by the minutes</w:t>
            </w:r>
          </w:p>
        </w:tc>
        <w:tc>
          <w:tcPr>
            <w:tcW w:w="2199" w:type="dxa"/>
            <w:tcBorders/>
            <w:vAlign w:val="center"/>
          </w:tcPr>
          <w:p>
            <w:pPr>
              <w:pStyle w:val="TableContents"/>
              <w:bidi w:val="0"/>
              <w:spacing w:before="0" w:after="283"/>
              <w:jc w:val="left"/>
              <w:rPr/>
            </w:pPr>
            <w:r>
              <w:rPr/>
              <w:t>Cited by path, commit SHA or report filename within the minutes; not duplicated</w:t>
            </w:r>
          </w:p>
        </w:tc>
        <w:tc>
          <w:tcPr>
            <w:tcW w:w="1065" w:type="dxa"/>
            <w:tcBorders/>
            <w:vAlign w:val="center"/>
          </w:tcPr>
          <w:p>
            <w:pPr>
              <w:pStyle w:val="TableContents"/>
              <w:bidi w:val="0"/>
              <w:spacing w:before="0" w:after="283"/>
              <w:jc w:val="left"/>
              <w:rPr/>
            </w:pPr>
            <w:r>
              <w:rPr/>
              <w:t>Per the retention of each source record (</w:t>
            </w:r>
            <w:r>
              <w:rPr>
                <w:rStyle w:val="SourceText"/>
              </w:rPr>
              <w:t>SOP-01</w:t>
            </w:r>
            <w:r>
              <w:rPr/>
              <w:t xml:space="preserve"> §8)</w:t>
            </w:r>
          </w:p>
        </w:tc>
      </w:tr>
      <w:tr>
        <w:trPr/>
        <w:tc>
          <w:tcPr>
            <w:tcW w:w="1314" w:type="dxa"/>
            <w:tcBorders/>
            <w:vAlign w:val="center"/>
          </w:tcPr>
          <w:p>
            <w:pPr>
              <w:pStyle w:val="TableContents"/>
              <w:bidi w:val="0"/>
              <w:spacing w:before="0" w:after="283"/>
              <w:jc w:val="left"/>
              <w:rPr/>
            </w:pPr>
            <w:r>
              <w:rPr/>
              <w:t>Actions arising</w:t>
            </w:r>
          </w:p>
        </w:tc>
        <w:tc>
          <w:tcPr>
            <w:tcW w:w="2199" w:type="dxa"/>
            <w:tcBorders/>
            <w:vAlign w:val="center"/>
          </w:tcPr>
          <w:p>
            <w:pPr>
              <w:pStyle w:val="TableContents"/>
              <w:bidi w:val="0"/>
              <w:spacing w:before="0" w:after="283"/>
              <w:jc w:val="left"/>
              <w:rPr/>
            </w:pPr>
            <w:r>
              <w:rPr/>
              <w:t xml:space="preserve">Recorded in the minutes and, where they are corrective actions or accepted OFIs, in </w:t>
            </w:r>
            <w:r>
              <w:rPr>
                <w:rStyle w:val="SourceText"/>
              </w:rPr>
              <w:t>registers/REG-04_Nonconformity_and_CAPA_Log.md</w:t>
            </w:r>
          </w:p>
        </w:tc>
        <w:tc>
          <w:tcPr>
            <w:tcW w:w="1065" w:type="dxa"/>
            <w:tcBorders/>
            <w:vAlign w:val="center"/>
          </w:tcPr>
          <w:p>
            <w:pPr>
              <w:pStyle w:val="TableContents"/>
              <w:bidi w:val="0"/>
              <w:spacing w:before="0" w:after="283"/>
              <w:jc w:val="left"/>
              <w:rPr/>
            </w:pPr>
            <w:r>
              <w:rPr/>
              <w:t>3 years after closure</w:t>
            </w:r>
          </w:p>
        </w:tc>
      </w:tr>
      <w:tr>
        <w:trPr/>
        <w:tc>
          <w:tcPr>
            <w:tcW w:w="1314" w:type="dxa"/>
            <w:tcBorders/>
            <w:vAlign w:val="center"/>
          </w:tcPr>
          <w:p>
            <w:pPr>
              <w:pStyle w:val="TableContents"/>
              <w:bidi w:val="0"/>
              <w:spacing w:before="0" w:after="283"/>
              <w:jc w:val="left"/>
              <w:rPr/>
            </w:pPr>
            <w:r>
              <w:rPr/>
              <w:t>Amendments to context, interested parties or risk arising from the review</w:t>
            </w:r>
          </w:p>
        </w:tc>
        <w:tc>
          <w:tcPr>
            <w:tcW w:w="2199" w:type="dxa"/>
            <w:tcBorders/>
            <w:vAlign w:val="center"/>
          </w:tcPr>
          <w:p>
            <w:pPr>
              <w:pStyle w:val="TableContents"/>
              <w:bidi w:val="0"/>
              <w:spacing w:before="0" w:after="283"/>
              <w:jc w:val="left"/>
              <w:rPr/>
            </w:pPr>
            <w:r>
              <w:rPr>
                <w:rStyle w:val="SourceText"/>
              </w:rPr>
              <w:t>SOP-02</w:t>
            </w:r>
            <w:r>
              <w:rPr/>
              <w:t xml:space="preserve"> §4, §5; </w:t>
            </w:r>
            <w:r>
              <w:rPr>
                <w:rStyle w:val="SourceText"/>
              </w:rPr>
              <w:t>registers/REG-03_Risk_Register.md</w:t>
            </w:r>
          </w:p>
        </w:tc>
        <w:tc>
          <w:tcPr>
            <w:tcW w:w="1065" w:type="dxa"/>
            <w:tcBorders/>
            <w:vAlign w:val="center"/>
          </w:tcPr>
          <w:p>
            <w:pPr>
              <w:pStyle w:val="TableContents"/>
              <w:bidi w:val="0"/>
              <w:spacing w:before="0" w:after="283"/>
              <w:jc w:val="left"/>
              <w:rPr/>
            </w:pPr>
            <w:r>
              <w:rPr/>
              <w:t>Life of the QMS + 3 years</w:t>
            </w:r>
          </w:p>
        </w:tc>
      </w:tr>
      <w:tr>
        <w:trPr/>
        <w:tc>
          <w:tcPr>
            <w:tcW w:w="1314" w:type="dxa"/>
            <w:tcBorders/>
            <w:vAlign w:val="center"/>
          </w:tcPr>
          <w:p>
            <w:pPr>
              <w:pStyle w:val="TableContents"/>
              <w:bidi w:val="0"/>
              <w:spacing w:before="0" w:after="283"/>
              <w:jc w:val="left"/>
              <w:rPr/>
            </w:pPr>
            <w:r>
              <w:rPr/>
              <w:t>Revised quality objectives</w:t>
            </w:r>
          </w:p>
        </w:tc>
        <w:tc>
          <w:tcPr>
            <w:tcW w:w="2199" w:type="dxa"/>
            <w:tcBorders/>
            <w:vAlign w:val="center"/>
          </w:tcPr>
          <w:p>
            <w:pPr>
              <w:pStyle w:val="TableContents"/>
              <w:bidi w:val="0"/>
              <w:spacing w:before="0" w:after="283"/>
              <w:jc w:val="left"/>
              <w:rPr/>
            </w:pPr>
            <w:r>
              <w:rPr>
                <w:rStyle w:val="SourceText"/>
              </w:rPr>
              <w:t>QO-01</w:t>
            </w:r>
            <w:r>
              <w:rPr/>
              <w:t>; revision history in Git</w:t>
            </w:r>
          </w:p>
        </w:tc>
        <w:tc>
          <w:tcPr>
            <w:tcW w:w="1065" w:type="dxa"/>
            <w:tcBorders/>
            <w:vAlign w:val="center"/>
          </w:tcPr>
          <w:p>
            <w:pPr>
              <w:pStyle w:val="TableContents"/>
              <w:bidi w:val="0"/>
              <w:spacing w:before="0" w:after="283"/>
              <w:jc w:val="left"/>
              <w:rPr/>
            </w:pPr>
            <w:r>
              <w:rPr/>
              <w:t>Life of the QMS + 3 years</w:t>
            </w:r>
          </w:p>
        </w:tc>
      </w:tr>
      <w:tr>
        <w:trPr/>
        <w:tc>
          <w:tcPr>
            <w:tcW w:w="1314" w:type="dxa"/>
            <w:tcBorders/>
            <w:vAlign w:val="center"/>
          </w:tcPr>
          <w:p>
            <w:pPr>
              <w:pStyle w:val="TableContents"/>
              <w:bidi w:val="0"/>
              <w:spacing w:before="0" w:after="283"/>
              <w:jc w:val="left"/>
              <w:rPr/>
            </w:pPr>
            <w:r>
              <w:rPr/>
              <w:t>Review schedule and next review date</w:t>
            </w:r>
          </w:p>
        </w:tc>
        <w:tc>
          <w:tcPr>
            <w:tcW w:w="2199" w:type="dxa"/>
            <w:tcBorders/>
            <w:vAlign w:val="center"/>
          </w:tcPr>
          <w:p>
            <w:pPr>
              <w:pStyle w:val="TableContents"/>
              <w:bidi w:val="0"/>
              <w:spacing w:before="0" w:after="283"/>
              <w:jc w:val="left"/>
              <w:rPr/>
            </w:pPr>
            <w:r>
              <w:rPr/>
              <w:t>Recorded on the minutes of the preceding review</w:t>
            </w:r>
          </w:p>
        </w:tc>
        <w:tc>
          <w:tcPr>
            <w:tcW w:w="1065" w:type="dxa"/>
            <w:tcBorders/>
            <w:vAlign w:val="center"/>
          </w:tcPr>
          <w:p>
            <w:pPr>
              <w:pStyle w:val="TableContents"/>
              <w:bidi w:val="0"/>
              <w:spacing w:before="0" w:after="283"/>
              <w:jc w:val="left"/>
              <w:rPr/>
            </w:pPr>
            <w:r>
              <w:rPr/>
              <w:t>3 years</w:t>
            </w:r>
          </w:p>
        </w:tc>
      </w:tr>
    </w:tbl>
    <w:p>
      <w:pPr>
        <w:pStyle w:val="Heading2"/>
        <w:bidi w:val="0"/>
        <w:jc w:val="left"/>
        <w:rPr/>
      </w:pPr>
      <w:r>
        <w:rPr/>
        <w:t>9. Current state and gaps</w:t>
      </w:r>
    </w:p>
    <w:p>
      <w:pPr>
        <w:pStyle w:val="BodyText"/>
        <w:bidi w:val="0"/>
        <w:jc w:val="left"/>
        <w:rPr/>
      </w:pPr>
      <w:r>
        <w:rPr>
          <w:rStyle w:val="Strong"/>
        </w:rPr>
        <w:t>Stated plainly: no management review has yet been held at Ajace AI. No minutes exist. No review cadence has run.</w:t>
      </w:r>
      <w:r>
        <w:rPr/>
        <w:t xml:space="preserve"> This procedure is the first management review arrangement the organisation has had, and the first review under it will have no previous actions to report under §5.1 and no audit results to report under §5.8.</w:t>
      </w:r>
    </w:p>
    <w:tbl>
      <w:tblPr>
        <w:tblW w:w="4578" w:type="dxa"/>
        <w:jc w:val="left"/>
        <w:tblInd w:w="0" w:type="dxa"/>
        <w:tblLayout w:type="fixed"/>
        <w:tblCellMar>
          <w:top w:w="28" w:type="dxa"/>
          <w:left w:w="28" w:type="dxa"/>
          <w:bottom w:w="28" w:type="dxa"/>
          <w:right w:w="28" w:type="dxa"/>
        </w:tblCellMar>
      </w:tblPr>
      <w:tblGrid>
        <w:gridCol w:w="1216"/>
        <w:gridCol w:w="2041"/>
        <w:gridCol w:w="1321"/>
      </w:tblGrid>
      <w:tr>
        <w:trPr>
          <w:tblHeader w:val="true"/>
        </w:trPr>
        <w:tc>
          <w:tcPr>
            <w:tcW w:w="1216" w:type="dxa"/>
            <w:tcBorders/>
            <w:vAlign w:val="center"/>
          </w:tcPr>
          <w:p>
            <w:pPr>
              <w:pStyle w:val="TableHeading"/>
              <w:suppressLineNumbers/>
              <w:shd w:fill="1F3A5F" w:val="clear"/>
              <w:bidi w:val="0"/>
              <w:spacing w:before="0" w:after="283"/>
              <w:jc w:val="center"/>
              <w:rPr/>
            </w:pPr>
            <w:r>
              <w:rPr/>
              <w:t>Gap</w:t>
            </w:r>
          </w:p>
        </w:tc>
        <w:tc>
          <w:tcPr>
            <w:tcW w:w="2041" w:type="dxa"/>
            <w:tcBorders/>
            <w:vAlign w:val="center"/>
          </w:tcPr>
          <w:p>
            <w:pPr>
              <w:pStyle w:val="TableHeading"/>
              <w:suppressLineNumbers/>
              <w:shd w:fill="1F3A5F" w:val="clear"/>
              <w:bidi w:val="0"/>
              <w:spacing w:before="0" w:after="283"/>
              <w:jc w:val="center"/>
              <w:rPr/>
            </w:pPr>
            <w:r>
              <w:rPr/>
              <w:t>Current state</w:t>
            </w:r>
          </w:p>
        </w:tc>
        <w:tc>
          <w:tcPr>
            <w:tcW w:w="1321" w:type="dxa"/>
            <w:tcBorders/>
            <w:vAlign w:val="center"/>
          </w:tcPr>
          <w:p>
            <w:pPr>
              <w:pStyle w:val="TableHeading"/>
              <w:suppressLineNumbers/>
              <w:shd w:fill="1F3A5F" w:val="clear"/>
              <w:bidi w:val="0"/>
              <w:spacing w:before="0" w:after="283"/>
              <w:jc w:val="center"/>
              <w:rPr/>
            </w:pPr>
            <w:r>
              <w:rPr/>
              <w:t>Consequence</w:t>
            </w:r>
          </w:p>
        </w:tc>
      </w:tr>
      <w:tr>
        <w:trPr/>
        <w:tc>
          <w:tcPr>
            <w:tcW w:w="1216" w:type="dxa"/>
            <w:tcBorders/>
            <w:vAlign w:val="center"/>
          </w:tcPr>
          <w:p>
            <w:pPr>
              <w:pStyle w:val="TableContents"/>
              <w:bidi w:val="0"/>
              <w:spacing w:before="0" w:after="283"/>
              <w:jc w:val="left"/>
              <w:rPr/>
            </w:pPr>
            <w:r>
              <w:rPr/>
              <w:t>No management review has taken place</w:t>
            </w:r>
          </w:p>
        </w:tc>
        <w:tc>
          <w:tcPr>
            <w:tcW w:w="2041" w:type="dxa"/>
            <w:tcBorders/>
            <w:vAlign w:val="center"/>
          </w:tcPr>
          <w:p>
            <w:pPr>
              <w:pStyle w:val="TableContents"/>
              <w:bidi w:val="0"/>
              <w:spacing w:before="0" w:after="283"/>
              <w:jc w:val="left"/>
              <w:rPr/>
            </w:pPr>
            <w:r>
              <w:rPr/>
              <w:t xml:space="preserve">No records exist in </w:t>
            </w:r>
            <w:r>
              <w:rPr>
                <w:rStyle w:val="SourceText"/>
              </w:rPr>
              <w:t>docs/qms/records/management-review/</w:t>
            </w:r>
            <w:r>
              <w:rPr/>
              <w:t>; the directory is created at the first review</w:t>
            </w:r>
          </w:p>
        </w:tc>
        <w:tc>
          <w:tcPr>
            <w:tcW w:w="1321" w:type="dxa"/>
            <w:tcBorders/>
            <w:vAlign w:val="center"/>
          </w:tcPr>
          <w:p>
            <w:pPr>
              <w:pStyle w:val="TableContents"/>
              <w:bidi w:val="0"/>
              <w:spacing w:before="0" w:after="283"/>
              <w:jc w:val="left"/>
              <w:rPr/>
            </w:pPr>
            <w:r>
              <w:rPr/>
              <w:t>Clause 9.3.1 unmet; the QMS has never been reviewed for suitability, adequacy or effectiveness</w:t>
            </w:r>
          </w:p>
        </w:tc>
      </w:tr>
      <w:tr>
        <w:trPr/>
        <w:tc>
          <w:tcPr>
            <w:tcW w:w="1216" w:type="dxa"/>
            <w:tcBorders/>
            <w:vAlign w:val="center"/>
          </w:tcPr>
          <w:p>
            <w:pPr>
              <w:pStyle w:val="TableContents"/>
              <w:bidi w:val="0"/>
              <w:spacing w:before="0" w:after="283"/>
              <w:jc w:val="left"/>
              <w:rPr/>
            </w:pPr>
            <w:r>
              <w:rPr/>
              <w:t>Several 9.3.2 inputs will be empty at the first review</w:t>
            </w:r>
          </w:p>
        </w:tc>
        <w:tc>
          <w:tcPr>
            <w:tcW w:w="2041" w:type="dxa"/>
            <w:tcBorders/>
            <w:vAlign w:val="center"/>
          </w:tcPr>
          <w:p>
            <w:pPr>
              <w:pStyle w:val="TableContents"/>
              <w:bidi w:val="0"/>
              <w:spacing w:before="0" w:after="283"/>
              <w:jc w:val="left"/>
              <w:rPr/>
            </w:pPr>
            <w:r>
              <w:rPr/>
              <w:t>No previous actions (§5.1), no audits (§5.8), no customer feedback records (§5.3)</w:t>
            </w:r>
          </w:p>
        </w:tc>
        <w:tc>
          <w:tcPr>
            <w:tcW w:w="1321" w:type="dxa"/>
            <w:tcBorders/>
            <w:vAlign w:val="center"/>
          </w:tcPr>
          <w:p>
            <w:pPr>
              <w:pStyle w:val="TableContents"/>
              <w:bidi w:val="0"/>
              <w:spacing w:before="0" w:after="283"/>
              <w:jc w:val="left"/>
              <w:rPr/>
            </w:pPr>
            <w:r>
              <w:rPr/>
              <w:t xml:space="preserve">The first review is largely a baseline exercise; it must record </w:t>
            </w:r>
            <w:r>
              <w:rPr>
                <w:rStyle w:val="Emphasis"/>
              </w:rPr>
              <w:t>why</w:t>
            </w:r>
            <w:r>
              <w:rPr/>
              <w:t xml:space="preserve"> each input is empty rather than skipping the heading</w:t>
            </w:r>
          </w:p>
        </w:tc>
      </w:tr>
      <w:tr>
        <w:trPr/>
        <w:tc>
          <w:tcPr>
            <w:tcW w:w="1216" w:type="dxa"/>
            <w:tcBorders/>
            <w:vAlign w:val="center"/>
          </w:tcPr>
          <w:p>
            <w:pPr>
              <w:pStyle w:val="TableContents"/>
              <w:bidi w:val="0"/>
              <w:spacing w:before="0" w:after="283"/>
              <w:jc w:val="left"/>
              <w:rPr/>
            </w:pPr>
            <w:r>
              <w:rPr/>
              <w:t>Quality objectives not yet measured against targets</w:t>
            </w:r>
          </w:p>
        </w:tc>
        <w:tc>
          <w:tcPr>
            <w:tcW w:w="2041" w:type="dxa"/>
            <w:tcBorders/>
            <w:vAlign w:val="center"/>
          </w:tcPr>
          <w:p>
            <w:pPr>
              <w:pStyle w:val="TableContents"/>
              <w:bidi w:val="0"/>
              <w:spacing w:before="0" w:after="283"/>
              <w:jc w:val="left"/>
              <w:rPr/>
            </w:pPr>
            <w:r>
              <w:rPr>
                <w:rStyle w:val="SourceText"/>
              </w:rPr>
              <w:t>QO-01</w:t>
            </w:r>
            <w:r>
              <w:rPr/>
              <w:t xml:space="preserve"> is drafted; no measurement cycle has run</w:t>
            </w:r>
          </w:p>
        </w:tc>
        <w:tc>
          <w:tcPr>
            <w:tcW w:w="1321" w:type="dxa"/>
            <w:tcBorders/>
            <w:vAlign w:val="center"/>
          </w:tcPr>
          <w:p>
            <w:pPr>
              <w:pStyle w:val="TableContents"/>
              <w:bidi w:val="0"/>
              <w:spacing w:before="0" w:after="283"/>
              <w:jc w:val="left"/>
              <w:rPr/>
            </w:pPr>
            <w:r>
              <w:rPr/>
              <w:t xml:space="preserve">§5.4 will report </w:t>
            </w:r>
            <w:r>
              <w:rPr>
                <w:rStyle w:val="Emphasis"/>
              </w:rPr>
              <w:t>not measured</w:t>
            </w:r>
            <w:r>
              <w:rPr/>
              <w:t xml:space="preserve"> for most objectives at the first review</w:t>
            </w:r>
          </w:p>
        </w:tc>
      </w:tr>
      <w:tr>
        <w:trPr/>
        <w:tc>
          <w:tcPr>
            <w:tcW w:w="1216" w:type="dxa"/>
            <w:tcBorders/>
            <w:vAlign w:val="center"/>
          </w:tcPr>
          <w:p>
            <w:pPr>
              <w:pStyle w:val="TableContents"/>
              <w:bidi w:val="0"/>
              <w:spacing w:before="0" w:after="283"/>
              <w:jc w:val="left"/>
              <w:rPr/>
            </w:pPr>
            <w:r>
              <w:rPr/>
              <w:t>Measurement is manual and intermittent</w:t>
            </w:r>
          </w:p>
        </w:tc>
        <w:tc>
          <w:tcPr>
            <w:tcW w:w="2041" w:type="dxa"/>
            <w:tcBorders/>
            <w:vAlign w:val="center"/>
          </w:tcPr>
          <w:p>
            <w:pPr>
              <w:pStyle w:val="TableContents"/>
              <w:bidi w:val="0"/>
              <w:spacing w:before="0" w:after="283"/>
              <w:jc w:val="left"/>
              <w:rPr/>
            </w:pPr>
            <w:r>
              <w:rPr/>
              <w:t>No CI; the golden evaluation runs when someone runs it (most recent recorded run 49/52 on 2026-08-06)</w:t>
            </w:r>
          </w:p>
        </w:tc>
        <w:tc>
          <w:tcPr>
            <w:tcW w:w="1321" w:type="dxa"/>
            <w:tcBorders/>
            <w:vAlign w:val="center"/>
          </w:tcPr>
          <w:p>
            <w:pPr>
              <w:pStyle w:val="TableContents"/>
              <w:bidi w:val="0"/>
              <w:spacing w:before="0" w:after="283"/>
              <w:jc w:val="left"/>
              <w:rPr/>
            </w:pPr>
            <w:r>
              <w:rPr/>
              <w:t>§5.5 reports on whatever happened to be measured, not on a continuous record</w:t>
            </w:r>
          </w:p>
        </w:tc>
      </w:tr>
      <w:tr>
        <w:trPr/>
        <w:tc>
          <w:tcPr>
            <w:tcW w:w="1216" w:type="dxa"/>
            <w:tcBorders/>
            <w:vAlign w:val="center"/>
          </w:tcPr>
          <w:p>
            <w:pPr>
              <w:pStyle w:val="TableContents"/>
              <w:bidi w:val="0"/>
              <w:spacing w:before="0" w:after="283"/>
              <w:jc w:val="left"/>
              <w:rPr/>
            </w:pPr>
            <w:r>
              <w:rPr/>
              <w:t>Product conformity has never reached the organisation's own gate</w:t>
            </w:r>
          </w:p>
        </w:tc>
        <w:tc>
          <w:tcPr>
            <w:tcW w:w="2041" w:type="dxa"/>
            <w:tcBorders/>
            <w:vAlign w:val="center"/>
          </w:tcPr>
          <w:p>
            <w:pPr>
              <w:pStyle w:val="TableContents"/>
              <w:bidi w:val="0"/>
              <w:spacing w:before="0" w:after="283"/>
              <w:jc w:val="left"/>
              <w:rPr/>
            </w:pPr>
            <w:r>
              <w:rPr/>
              <w:t>The golden-question suite gate is binary and has never returned 52/52; best recorded is 50/52</w:t>
            </w:r>
          </w:p>
        </w:tc>
        <w:tc>
          <w:tcPr>
            <w:tcW w:w="1321" w:type="dxa"/>
            <w:tcBorders/>
            <w:vAlign w:val="center"/>
          </w:tcPr>
          <w:p>
            <w:pPr>
              <w:pStyle w:val="TableContents"/>
              <w:bidi w:val="0"/>
              <w:spacing w:before="0" w:after="283"/>
              <w:jc w:val="left"/>
              <w:rPr/>
            </w:pPr>
            <w:r>
              <w:rPr/>
              <w:t>The gate as currently defined has never been passed; the first review must decide whether the gate or the product is wrong</w:t>
            </w:r>
          </w:p>
        </w:tc>
      </w:tr>
      <w:tr>
        <w:trPr/>
        <w:tc>
          <w:tcPr>
            <w:tcW w:w="1216" w:type="dxa"/>
            <w:tcBorders/>
            <w:vAlign w:val="center"/>
          </w:tcPr>
          <w:p>
            <w:pPr>
              <w:pStyle w:val="TableContents"/>
              <w:bidi w:val="0"/>
              <w:spacing w:before="0" w:after="283"/>
              <w:jc w:val="left"/>
              <w:rPr/>
            </w:pPr>
            <w:r>
              <w:rPr/>
              <w:t>Top management, process owners and the workforce are the same person</w:t>
            </w:r>
          </w:p>
        </w:tc>
        <w:tc>
          <w:tcPr>
            <w:tcW w:w="2041" w:type="dxa"/>
            <w:tcBorders/>
            <w:vAlign w:val="center"/>
          </w:tcPr>
          <w:p>
            <w:pPr>
              <w:pStyle w:val="TableContents"/>
              <w:bidi w:val="0"/>
              <w:spacing w:before="0" w:after="283"/>
              <w:jc w:val="left"/>
              <w:rPr/>
            </w:pPr>
            <w:r>
              <w:rPr>
                <w:rStyle w:val="SourceText"/>
              </w:rPr>
              <w:t>SOP-02</w:t>
            </w:r>
            <w:r>
              <w:rPr/>
              <w:t xml:space="preserve"> §4</w:t>
            </w:r>
          </w:p>
        </w:tc>
        <w:tc>
          <w:tcPr>
            <w:tcW w:w="1321" w:type="dxa"/>
            <w:tcBorders/>
            <w:vAlign w:val="center"/>
          </w:tcPr>
          <w:p>
            <w:pPr>
              <w:pStyle w:val="TableContents"/>
              <w:bidi w:val="0"/>
              <w:spacing w:before="0" w:after="283"/>
              <w:jc w:val="left"/>
              <w:rPr/>
            </w:pPr>
            <w:r>
              <w:rPr/>
              <w:t>No challenge function inside the review; the evidence discipline in §3 is the only substitute</w:t>
            </w:r>
          </w:p>
        </w:tc>
      </w:tr>
      <w:tr>
        <w:trPr/>
        <w:tc>
          <w:tcPr>
            <w:tcW w:w="1216" w:type="dxa"/>
            <w:tcBorders/>
            <w:vAlign w:val="center"/>
          </w:tcPr>
          <w:p>
            <w:pPr>
              <w:pStyle w:val="TableContents"/>
              <w:bidi w:val="0"/>
              <w:spacing w:before="0" w:after="283"/>
              <w:jc w:val="left"/>
              <w:rPr/>
            </w:pPr>
            <w:r>
              <w:rPr/>
              <w:t>No versioning to anchor a review period to</w:t>
            </w:r>
          </w:p>
        </w:tc>
        <w:tc>
          <w:tcPr>
            <w:tcW w:w="2041" w:type="dxa"/>
            <w:tcBorders/>
            <w:vAlign w:val="center"/>
          </w:tcPr>
          <w:p>
            <w:pPr>
              <w:pStyle w:val="TableContents"/>
              <w:bidi w:val="0"/>
              <w:spacing w:before="0" w:after="283"/>
              <w:jc w:val="left"/>
              <w:rPr/>
            </w:pPr>
            <w:r>
              <w:rPr/>
              <w:t xml:space="preserve">No git tags, no CHANGELOG; </w:t>
            </w:r>
            <w:r>
              <w:rPr>
                <w:rStyle w:val="SourceText"/>
              </w:rPr>
              <w:t>frontend/package.json</w:t>
            </w:r>
            <w:r>
              <w:rPr/>
              <w:t xml:space="preserve"> is </w:t>
            </w:r>
            <w:r>
              <w:rPr>
                <w:rStyle w:val="SourceText"/>
              </w:rPr>
              <w:t>"0.0.0"</w:t>
            </w:r>
          </w:p>
        </w:tc>
        <w:tc>
          <w:tcPr>
            <w:tcW w:w="1321" w:type="dxa"/>
            <w:tcBorders/>
            <w:vAlign w:val="center"/>
          </w:tcPr>
          <w:p>
            <w:pPr>
              <w:pStyle w:val="TableContents"/>
              <w:bidi w:val="0"/>
              <w:spacing w:before="0" w:after="283"/>
              <w:jc w:val="left"/>
              <w:rPr/>
            </w:pPr>
            <w:r>
              <w:rPr/>
              <w:t>Review periods must be delimited by date and commit SHA rather than by release</w:t>
            </w:r>
          </w:p>
        </w:tc>
      </w:tr>
      <w:tr>
        <w:trPr/>
        <w:tc>
          <w:tcPr>
            <w:tcW w:w="1216" w:type="dxa"/>
            <w:tcBorders/>
            <w:vAlign w:val="center"/>
          </w:tcPr>
          <w:p>
            <w:pPr>
              <w:pStyle w:val="TableContents"/>
              <w:bidi w:val="0"/>
              <w:spacing w:before="0" w:after="283"/>
              <w:jc w:val="left"/>
              <w:rPr/>
            </w:pPr>
            <w:r>
              <w:rPr/>
              <w:t>Resource gaps that will recur under §5.11 until resolved</w:t>
            </w:r>
          </w:p>
        </w:tc>
        <w:tc>
          <w:tcPr>
            <w:tcW w:w="2041" w:type="dxa"/>
            <w:tcBorders/>
            <w:vAlign w:val="center"/>
          </w:tcPr>
          <w:p>
            <w:pPr>
              <w:pStyle w:val="TableContents"/>
              <w:bidi w:val="0"/>
              <w:spacing w:before="0" w:after="283"/>
              <w:jc w:val="left"/>
              <w:rPr/>
            </w:pPr>
            <w:r>
              <w:rPr/>
              <w:t xml:space="preserve">No backup of the </w:t>
            </w:r>
            <w:r>
              <w:rPr>
                <w:rStyle w:val="SourceText"/>
              </w:rPr>
              <w:t>echomind_data</w:t>
            </w:r>
            <w:r>
              <w:rPr/>
              <w:t xml:space="preserve"> volume; no data-retention policy; no log rotation; no LICENCE/NOTICE, model-licence inventory or SBOM; application authentication off by default with WebSocket endpoints outside the auth middleware (</w:t>
            </w:r>
            <w:r>
              <w:rPr>
                <w:rStyle w:val="SourceText"/>
              </w:rPr>
              <w:t>backend/app/main.py:135</w:t>
            </w:r>
            <w:r>
              <w:rPr/>
              <w:t>)</w:t>
            </w:r>
          </w:p>
        </w:tc>
        <w:tc>
          <w:tcPr>
            <w:tcW w:w="1321" w:type="dxa"/>
            <w:tcBorders/>
            <w:vAlign w:val="center"/>
          </w:tcPr>
          <w:p>
            <w:pPr>
              <w:pStyle w:val="TableContents"/>
              <w:bidi w:val="0"/>
              <w:spacing w:before="0" w:after="283"/>
              <w:jc w:val="left"/>
              <w:rPr/>
            </w:pPr>
            <w:r>
              <w:rPr/>
              <w:t>Each is a standing resource or control item for §5.11 and §6 c until closed</w:t>
            </w:r>
          </w:p>
        </w:tc>
      </w:tr>
    </w:tbl>
    <w:p>
      <w:pPr>
        <w:pStyle w:val="BodyText"/>
        <w:bidi w:val="0"/>
        <w:spacing w:before="0" w:after="283"/>
        <w:jc w:val="left"/>
        <w:rPr/>
      </w:pPr>
      <w:r>
        <w:rPr/>
        <w:t xml:space="preserve">Each gap above is carried into </w:t>
      </w:r>
      <w:r>
        <w:rPr>
          <w:rStyle w:val="SourceText"/>
        </w:rPr>
        <w:t>ISO9001_Gap_Analysis.md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