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REG-09 — Non-Functional Requirements Register (EchoMind Product)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80"/>
        <w:gridCol w:w="9659"/>
      </w:tblGrid>
      <w:tr>
        <w:trPr>
          <w:tblHeader w:val="true"/>
        </w:trPr>
        <w:tc>
          <w:tcPr>
            <w:tcW w:w="168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Field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Value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Engineer, EchoMind Product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8.2.2 (determining requirements), 8.3.3 (design inputs), 8.3.4 (design controls), 9.1.1 (monitoring and measurement)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Raised in response to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AFR Stage 2 audit finding #6 (16-Oct-2025, clause 8.2.2, Minor NC)</w:t>
            </w:r>
            <w:r>
              <w:rPr/>
              <w:t xml:space="preserve"> — </w:t>
            </w:r>
            <w:r>
              <w:rPr>
                <w:rStyle w:val="Emphasis"/>
              </w:rPr>
              <w:t>"No evidence could be seen for recording and monitoring of non functional requirements"</w:t>
            </w:r>
          </w:p>
        </w:tc>
      </w:tr>
      <w:tr>
        <w:trPr/>
        <w:tc>
          <w:tcPr>
            <w:tcW w:w="168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Applies to</w:t>
            </w:r>
          </w:p>
        </w:tc>
        <w:tc>
          <w:tcPr>
            <w:tcW w:w="965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EchoMind Enterprise codebase in this repository (first commit 2026-02-05)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Why this register exists, and what it does and does not claim</w:t>
      </w:r>
    </w:p>
    <w:p>
      <w:pPr>
        <w:pStyle w:val="BodyText"/>
        <w:bidi w:val="0"/>
        <w:jc w:val="left"/>
        <w:rPr/>
      </w:pPr>
      <w:r>
        <w:rPr/>
        <w:t xml:space="preserve">The 2025 finding was that non-functional requirements were </w:t>
      </w:r>
      <w:r>
        <w:rPr>
          <w:rStyle w:val="Strong"/>
        </w:rPr>
        <w:t>discussed but not recorded as controlled records</w:t>
      </w:r>
      <w:r>
        <w:rPr/>
        <w:t xml:space="preserve">. That diagnosis was accurate and it remains the accurate diagnosis for the codebase in this repository: NFRs here are measured </w:t>
      </w:r>
      <w:r>
        <w:rPr>
          <w:rStyle w:val="Strong"/>
        </w:rPr>
        <w:t>extensively and rigorously</w:t>
      </w:r>
      <w:r>
        <w:rPr/>
        <w:t xml:space="preserve"> — latency decomposition, tenant isolation, injection resistance, grounding accuracy, barge-in responsiveness — but until this register they existed only as experiment result files and commit messages, not as a maintained NFR record with targets and status.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This register therefore records measurements that already exist.</w:t>
      </w:r>
      <w:r>
        <w:rPr/>
        <w:t xml:space="preserve"> Every figure below is transcribed from a stored result file or a reproducible harness, and the source is cited so any row can be checked. Nothing here is estimated.</w:t>
      </w:r>
    </w:p>
    <w:p>
      <w:pPr>
        <w:pStyle w:val="BodyText"/>
        <w:bidi w:val="0"/>
        <w:jc w:val="left"/>
        <w:rPr/>
      </w:pPr>
      <w:r>
        <w:rPr>
          <w:rStyle w:val="Strong"/>
        </w:rPr>
        <w:t>Two honest qualifications an auditor should be told directly: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Most of these NFRs never had a formally agreed target.</w:t>
      </w:r>
      <w:r>
        <w:rPr/>
        <w:t xml:space="preserve"> They were measured, and the measurement drove engineering decisions, but no one wrote down "p95 must be under X" beforehand. Where that is the case the Target column says </w:t>
      </w:r>
      <w:r>
        <w:rPr>
          <w:rStyle w:val="SourceText"/>
        </w:rPr>
        <w:t>not formally set</w:t>
      </w:r>
      <w:r>
        <w:rPr/>
        <w:t xml:space="preserve"> rather than inventing a threshold retrospectively. Setting them is action </w:t>
      </w:r>
      <w:r>
        <w:rPr>
          <w:rStyle w:val="Strong"/>
        </w:rPr>
        <w:t>A-1</w:t>
      </w:r>
      <w:r>
        <w:rPr/>
        <w:t xml:space="preserve"> below.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The 2025 corrective action described a different toolchain.</w:t>
      </w:r>
      <w:r>
        <w:rPr/>
        <w:t xml:space="preserve"> It cited an NFR tracker in Confluence and metrics from </w:t>
      </w:r>
      <w:r>
        <w:rPr>
          <w:rStyle w:val="Emphasis"/>
        </w:rPr>
        <w:t>"build v1.3.27 captured automatically via Jenkins"</w:t>
      </w:r>
      <w:r>
        <w:rPr/>
        <w:t xml:space="preserve">. This repository contains no Confluence, Jira or Jenkins integration and no v1.3.x versioning. Either that evidence belongs to a predecessor codebase, or it does not describe this one. </w:t>
      </w:r>
      <w:r>
        <w:rPr>
          <w:rStyle w:val="Strong"/>
        </w:rPr>
        <w:t>This is flagged for the audit rather than papered over</w:t>
      </w:r>
      <w:r>
        <w:rPr/>
        <w:t xml:space="preserve"> — see §5. 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2. The register</w:t>
      </w:r>
    </w:p>
    <w:p>
      <w:pPr>
        <w:pStyle w:val="BodyText"/>
        <w:bidi w:val="0"/>
        <w:jc w:val="left"/>
        <w:rPr/>
      </w:pPr>
      <w:r>
        <w:rPr/>
        <w:t xml:space="preserve">Status key: </w:t>
      </w:r>
      <w:r>
        <w:rPr>
          <w:rStyle w:val="Strong"/>
        </w:rPr>
        <w:t>Met</w:t>
      </w:r>
      <w:r>
        <w:rPr/>
        <w:t xml:space="preserve"> — measured against an agreed target and satisfied · </w:t>
      </w:r>
      <w:r>
        <w:rPr>
          <w:rStyle w:val="Strong"/>
        </w:rPr>
        <w:t>Measured</w:t>
      </w:r>
      <w:r>
        <w:rPr/>
        <w:t xml:space="preserve"> — measured, no agreed target · </w:t>
      </w:r>
      <w:r>
        <w:rPr>
          <w:rStyle w:val="Strong"/>
        </w:rPr>
        <w:t>Monitored</w:t>
      </w:r>
      <w:r>
        <w:rPr/>
        <w:t xml:space="preserve"> — observed continuously, no discrete measurement · </w:t>
      </w:r>
      <w:r>
        <w:rPr>
          <w:rStyle w:val="Strong"/>
        </w:rPr>
        <w:t>Gap</w:t>
      </w:r>
      <w:r>
        <w:rPr/>
        <w:t xml:space="preserve"> — not measured.</w:t>
      </w:r>
    </w:p>
    <w:p>
      <w:pPr>
        <w:pStyle w:val="Heading3"/>
        <w:bidi w:val="0"/>
        <w:jc w:val="left"/>
        <w:rPr/>
      </w:pPr>
      <w:r>
        <w:rPr/>
        <w:t>2.1 Performance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2022"/>
        <w:gridCol w:w="1074"/>
        <w:gridCol w:w="1779"/>
        <w:gridCol w:w="2544"/>
        <w:gridCol w:w="599"/>
        <w:gridCol w:w="2450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Method / source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NFR-P01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End-to-end grounded answer latency (chat)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median </w:t>
            </w:r>
            <w:r>
              <w:rPr>
                <w:rStyle w:val="Strong"/>
              </w:rPr>
              <w:t>3,313 ms</w:t>
            </w:r>
            <w:r>
              <w:rPr/>
              <w:t xml:space="preserve">, p95 </w:t>
            </w:r>
            <w:r>
              <w:rPr>
                <w:rStyle w:val="Strong"/>
              </w:rPr>
              <w:t>15,171 ms</w:t>
            </w:r>
            <w:r>
              <w:rPr/>
              <w:t xml:space="preserve"> (concurrency 1, warm cache, n=30/cell)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eval/paper/results/e1_latency.json</w:t>
            </w:r>
            <w:r>
              <w:rPr/>
              <w:t xml:space="preserve"> (harness </w:t>
            </w:r>
            <w:r>
              <w:rPr>
                <w:rStyle w:val="SourceText"/>
              </w:rPr>
              <w:t>eval/paper/e1_latency.py</w:t>
            </w:r>
            <w:r>
              <w:rPr/>
              <w:t>)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NFR-P02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Retrieval share of total answer latency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2.8%</w:t>
            </w:r>
            <w:r>
              <w:rPr/>
              <w:t xml:space="preserve"> of grounded latency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Measured — notable: contradicts the project's own published assumption, recorded honestly in </w:t>
            </w:r>
            <w:r>
              <w:rPr>
                <w:rStyle w:val="SourceText"/>
              </w:rPr>
              <w:t>SUMMARY.json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NFR-P03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Tenant permission filter overhead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Negligible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0.08 ms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NFR-P04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Voice: end of user speech → first audible reply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median </w:t>
            </w:r>
            <w:r>
              <w:rPr>
                <w:rStyle w:val="Strong"/>
              </w:rPr>
              <w:t>635.8 ms</w:t>
            </w:r>
            <w:r>
              <w:rPr/>
              <w:t xml:space="preserve">, p95 </w:t>
            </w:r>
            <w:r>
              <w:rPr>
                <w:rStyle w:val="Strong"/>
              </w:rPr>
              <w:t>894.0 ms</w:t>
            </w:r>
            <w:r>
              <w:rPr/>
              <w:t xml:space="preserve"> (n=10, arm </w:t>
            </w:r>
            <w:r>
              <w:rPr>
                <w:rStyle w:val="SourceText"/>
              </w:rPr>
              <w:t>dual_i1</w:t>
            </w:r>
            <w:r>
              <w:rPr/>
              <w:t>)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eval/paper/results/e10_ablation.json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NFR-P05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Voice: first audible reply after the speculative-reply and GPU-STT work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0.14–0.49 s</w:t>
            </w:r>
            <w:r>
              <w:rPr/>
              <w:t xml:space="preserve"> across 12 turns, two personas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Session test </w:t>
            </w:r>
            <w:r>
              <w:rPr>
                <w:rStyle w:val="SourceText"/>
              </w:rPr>
              <w:t>voice_e2e_v3.py</w:t>
            </w:r>
            <w:r>
              <w:rPr/>
              <w:t xml:space="preserve">; commit </w:t>
            </w:r>
            <w:r>
              <w:rPr>
                <w:rStyle w:val="SourceText"/>
              </w:rPr>
              <w:t>c2a6ed5</w:t>
            </w:r>
            <w:r>
              <w:rPr/>
              <w:t xml:space="preserve"> / </w:t>
            </w:r>
            <w:r>
              <w:rPr>
                <w:rStyle w:val="SourceText"/>
              </w:rPr>
              <w:t>ff29843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 — ~2× improvement on NFR-P04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NFR-P06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Final speech-to-text decode time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~70–130 ms</w:t>
            </w:r>
            <w:r>
              <w:rPr/>
              <w:t xml:space="preserve"> (GPU, CUDA graphs disabled), previously ~1.0–1.6 s (CPU)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Commit </w:t>
            </w:r>
            <w:r>
              <w:rPr>
                <w:rStyle w:val="SourceText"/>
              </w:rPr>
              <w:t>ff29843</w:t>
            </w:r>
            <w:r>
              <w:rPr/>
              <w:t>; measured in-session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2026-09-21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NFR-P07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Barge-in: user interrupt → assistant audio stops</w:t>
            </w:r>
          </w:p>
        </w:tc>
        <w:tc>
          <w:tcPr>
            <w:tcW w:w="107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17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median </w:t>
            </w:r>
            <w:r>
              <w:rPr>
                <w:rStyle w:val="Strong"/>
              </w:rPr>
              <w:t>2,131 ms</w:t>
            </w:r>
            <w:r>
              <w:rPr/>
              <w:t xml:space="preserve">, p95 </w:t>
            </w:r>
            <w:r>
              <w:rPr>
                <w:rStyle w:val="Strong"/>
              </w:rPr>
              <w:t>2,140.6 ms</w:t>
            </w:r>
            <w:r>
              <w:rPr/>
              <w:t xml:space="preserve">, success </w:t>
            </w:r>
            <w:r>
              <w:rPr>
                <w:rStyle w:val="Strong"/>
              </w:rPr>
              <w:t>1.00</w:t>
            </w:r>
            <w:r>
              <w:rPr/>
              <w:t xml:space="preserve"> (n=8)</w:t>
            </w:r>
          </w:p>
        </w:tc>
        <w:tc>
          <w:tcPr>
            <w:tcW w:w="254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eval/paper/results/e7_interaction.json</w:t>
            </w:r>
          </w:p>
        </w:tc>
        <w:tc>
          <w:tcPr>
            <w:tcW w:w="59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 — slowest NFR on record; candidate for a target and improvement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2.2 Accuracy and grounding </w:t>
      </w:r>
      <w:r>
        <w:rPr>
          <w:rStyle w:val="Emphasis"/>
        </w:rPr>
        <w:t>(the product's primary quality characteristic)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86"/>
        <w:gridCol w:w="1735"/>
        <w:gridCol w:w="1237"/>
        <w:gridCol w:w="2634"/>
        <w:gridCol w:w="1908"/>
        <w:gridCol w:w="590"/>
        <w:gridCol w:w="2349"/>
      </w:tblGrid>
      <w:tr>
        <w:trPr>
          <w:tblHeader w:val="true"/>
        </w:trPr>
        <w:tc>
          <w:tcPr>
            <w:tcW w:w="8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Method / source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NFR-Q01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Citation precision — cited passages genuinely support the claim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≥ </w:t>
            </w:r>
            <w:r>
              <w:rPr/>
              <w:t xml:space="preserve">0.98 (set in </w:t>
            </w:r>
            <w:r>
              <w:rPr>
                <w:rStyle w:val="SourceText"/>
              </w:rPr>
              <w:t>QO-01</w:t>
            </w:r>
            <w:r>
              <w:rPr/>
              <w:t xml:space="preserve"> QO-1, 2026-09-21)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0.9792</w:t>
            </w:r>
            <w:r>
              <w:rPr/>
              <w:t xml:space="preserve"> (95% CI 0.938–1.02, n=36)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eval/paper/results/e5_grounding.json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 (at the target boundary)</w:t>
            </w:r>
          </w:p>
        </w:tc>
      </w:tr>
      <w:tr>
        <w:trPr/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NFR-Q02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Citation recall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0.8256</w:t>
            </w:r>
            <w:r>
              <w:rPr/>
              <w:t xml:space="preserve"> (CI 0.713–0.938, n=43)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</w:t>
            </w:r>
          </w:p>
        </w:tc>
      </w:tr>
      <w:tr>
        <w:trPr/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NFR-Q03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Fact support rate — required gold facts present in the answer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0.8152</w:t>
            </w:r>
            <w:r>
              <w:rPr/>
              <w:t xml:space="preserve"> (75 of 92 fact groups)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</w:t>
            </w:r>
          </w:p>
        </w:tc>
      </w:tr>
      <w:tr>
        <w:trPr/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NFR-Q04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Abstention accuracy — correctly declines when the corpus cannot answer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0.7826</w:t>
            </w:r>
            <w:r>
              <w:rPr/>
              <w:t xml:space="preserve"> (CI 0.581–0.903, n=23)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same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Measured — </w:t>
            </w:r>
            <w:r>
              <w:rPr>
                <w:rStyle w:val="Strong"/>
              </w:rPr>
              <w:t>weakest accuracy figure; directly tied to the product's central claim</w:t>
            </w:r>
          </w:p>
        </w:tc>
      </w:tr>
      <w:tr>
        <w:trPr/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NFR-Q05</w:t>
            </w:r>
          </w:p>
        </w:tc>
        <w:tc>
          <w:tcPr>
            <w:tcW w:w="173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regression suite (52 golden questions, binary gate)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52/52 (gate at </w:t>
            </w:r>
            <w:r>
              <w:rPr>
                <w:rStyle w:val="SourceText"/>
              </w:rPr>
              <w:t>eval/run_eval.py:281</w:t>
            </w:r>
            <w:r>
              <w:rPr/>
              <w:t>)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9/52 on 2026-09-22</w:t>
            </w:r>
            <w:r>
              <w:rPr/>
              <w:t xml:space="preserve"> — 43/43 retrieval questions fail with 0 citations because the evaluation corpus is absent; smalltalk 6/6, refusal 2/2, off-corpus 1/1. Historic: best 50/52 (2026-07-30), 49/52 (2026-08-06)</w:t>
            </w:r>
          </w:p>
        </w:tc>
        <w:tc>
          <w:tcPr>
            <w:tcW w:w="190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eval/reports/eval_20260922-135322.json</w:t>
            </w:r>
          </w:p>
        </w:tc>
        <w:tc>
          <w:tcPr>
            <w:tcW w:w="59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234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 — instrument inoperable.</w:t>
            </w:r>
            <w:r>
              <w:rPr/>
              <w:t xml:space="preserve"> Raised as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NC-2026-008. Not a product regression; retrieval works when exercised directly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2.3 Security and tenant isolation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1940"/>
        <w:gridCol w:w="1110"/>
        <w:gridCol w:w="2333"/>
        <w:gridCol w:w="2534"/>
        <w:gridCol w:w="976"/>
        <w:gridCol w:w="1575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Method / source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157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NFR-S01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cross-tenant content leakage in answers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 / 50 probes</w:t>
            </w:r>
            <w:r>
              <w:rPr/>
              <w:t xml:space="preserve"> (CI 0–0.0714)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eval/paper/results/e3_permission.json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NFR-S02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out-of-namespace hits on any retrieval path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Zero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0 / 359</w:t>
            </w:r>
            <w:r>
              <w:rPr/>
              <w:t xml:space="preserve"> hits across all retrieval paths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eval/paper/results/e3b_path_isolation.json</w:t>
            </w:r>
            <w:r>
              <w:rPr/>
              <w:t xml:space="preserve">; fix commit </w:t>
            </w:r>
            <w:r>
              <w:rPr>
                <w:rStyle w:val="SourceText"/>
              </w:rPr>
              <w:t>4e27109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2026-08-07</w:t>
            </w:r>
          </w:p>
        </w:tc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Met — </w:t>
            </w:r>
            <w:r>
              <w:rPr>
                <w:rStyle w:val="Strong"/>
              </w:rPr>
              <w:t>after</w:t>
            </w:r>
            <w:r>
              <w:rPr/>
              <w:t xml:space="preserve"> a real defect; see §4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NFR-S03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Prompt-injection containment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 formally set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attack success </w:t>
            </w:r>
            <w:r>
              <w:rPr>
                <w:rStyle w:val="Strong"/>
              </w:rPr>
              <w:t>0.102</w:t>
            </w:r>
            <w:r>
              <w:rPr/>
              <w:t xml:space="preserve"> with no defence (baseline arm), 98 attack documents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eval/paper/results/e4_injection.json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</w:t>
            </w:r>
          </w:p>
        </w:tc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Measured — partial; defended arms recorded in the file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NFR-S04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Injection guards present in every prompt path</w:t>
            </w:r>
          </w:p>
        </w:tc>
        <w:tc>
          <w:tcPr>
            <w:tcW w:w="111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paths</w:t>
            </w:r>
          </w:p>
        </w:tc>
        <w:tc>
          <w:tcPr>
            <w:tcW w:w="233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 unit tests asserting guards in analyzer / compress / contextualizer / RAG / strict prompts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backend/tests/test_prompt_guards.py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continuous</w:t>
            </w:r>
          </w:p>
        </w:tc>
        <w:tc>
          <w:tcPr>
            <w:tcW w:w="157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Monitored</w:t>
            </w:r>
          </w:p>
        </w:tc>
      </w:tr>
    </w:tbl>
    <w:p>
      <w:pPr>
        <w:pStyle w:val="Heading3"/>
        <w:bidi w:val="0"/>
        <w:jc w:val="left"/>
        <w:rPr/>
      </w:pPr>
      <w:r>
        <w:rPr/>
        <w:t>2.4 Reliability and availability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1507"/>
        <w:gridCol w:w="1391"/>
        <w:gridCol w:w="2629"/>
        <w:gridCol w:w="2579"/>
        <w:gridCol w:w="976"/>
        <w:gridCol w:w="1386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Method / source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Date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NFR-R01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Service liveness monitored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long-running services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Health checks on </w:t>
            </w:r>
            <w:r>
              <w:rPr>
                <w:rStyle w:val="Strong"/>
              </w:rPr>
              <w:t>4 of 6</w:t>
            </w:r>
            <w:r>
              <w:rPr/>
              <w:t xml:space="preserve"> services (</w:t>
            </w:r>
            <w:r>
              <w:rPr>
                <w:rStyle w:val="SourceText"/>
              </w:rPr>
              <w:t>trtllm</w:t>
            </w:r>
            <w:r>
              <w:rPr/>
              <w:t xml:space="preserve">, </w:t>
            </w:r>
            <w:r>
              <w:rPr>
                <w:rStyle w:val="SourceText"/>
              </w:rPr>
              <w:t>backend</w:t>
            </w:r>
            <w:r>
              <w:rPr/>
              <w:t xml:space="preserve">, </w:t>
            </w:r>
            <w:r>
              <w:rPr>
                <w:rStyle w:val="SourceText"/>
              </w:rPr>
              <w:t>voice</w:t>
            </w:r>
            <w:r>
              <w:rPr/>
              <w:t xml:space="preserve">, </w:t>
            </w:r>
            <w:r>
              <w:rPr>
                <w:rStyle w:val="SourceText"/>
              </w:rPr>
              <w:t>ollama</w:t>
            </w:r>
            <w:r>
              <w:rPr/>
              <w:t xml:space="preserve">); </w:t>
            </w:r>
            <w:r>
              <w:rPr>
                <w:rStyle w:val="SourceText"/>
              </w:rPr>
              <w:t>frontend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have none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continuous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Partial gap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NFR-R02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Automatic recovery from a fatal GPU fault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Unattended recovery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/health</w:t>
            </w:r>
            <w:r>
              <w:rPr/>
              <w:t xml:space="preserve"> returns 503 on a poisoned CUDA context; in-process watchdog exits; </w:t>
            </w:r>
            <w:r>
              <w:rPr>
                <w:rStyle w:val="SourceText"/>
              </w:rPr>
              <w:t>restart: unless-stopped</w:t>
            </w:r>
            <w:r>
              <w:rPr/>
              <w:t xml:space="preserve"> recreates with a fresh context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backend/app/main.py:100-104</w:t>
            </w:r>
            <w:r>
              <w:rPr/>
              <w:t xml:space="preserve">; </w:t>
            </w:r>
            <w:r>
              <w:rPr>
                <w:rStyle w:val="SourceText"/>
              </w:rPr>
              <w:t>docker-compose.yml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continuous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NFR-R03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Disk exhaustion from unbounded logs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Bounded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 rotation 50 MB × 5 on all six services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 (2026-09-22)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Met — </w:t>
            </w:r>
            <w:r>
              <w:rPr>
                <w:rStyle w:val="Strong"/>
              </w:rPr>
              <w:t xml:space="preserve">applies on next </w:t>
            </w:r>
            <w:r>
              <w:rPr>
                <w:rStyle w:val="SourceText"/>
              </w:rPr>
              <w:t>docker compose up -d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NFR-R04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recoverable after loss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Tested restore within 6 months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Restore exercised into a clean volume: </w:t>
            </w:r>
            <w:r>
              <w:rPr>
                <w:rStyle w:val="SourceText"/>
              </w:rPr>
              <w:t>integrity_check ok</w:t>
            </w:r>
            <w:r>
              <w:rPr/>
              <w:t>, 32 tables, 351 MB archive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scripts/backup_data.sh</w:t>
            </w:r>
            <w:r>
              <w:rPr/>
              <w:t xml:space="preserve"> / </w:t>
            </w:r>
            <w:r>
              <w:rPr>
                <w:rStyle w:val="SourceText"/>
              </w:rPr>
              <w:t>restore_data.sh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NFR-R05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Build reproducibility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Pinned dependencies</w:t>
            </w:r>
          </w:p>
        </w:tc>
        <w:tc>
          <w:tcPr>
            <w:tcW w:w="262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nemo_toolkit</w:t>
            </w:r>
            <w:r>
              <w:rPr/>
              <w:t xml:space="preserve"> pinned to commit </w:t>
            </w:r>
            <w:r>
              <w:rPr>
                <w:rStyle w:val="SourceText"/>
              </w:rPr>
              <w:t>60ce9407</w:t>
            </w:r>
            <w:r>
              <w:rPr/>
              <w:t xml:space="preserve">, previously the moving branch </w:t>
            </w:r>
            <w:r>
              <w:rPr>
                <w:rStyle w:val="SourceText"/>
              </w:rPr>
              <w:t>@main</w:t>
            </w:r>
            <w:r>
              <w:rPr/>
              <w:t xml:space="preserve"> which caused a production outage</w:t>
            </w:r>
          </w:p>
        </w:tc>
        <w:tc>
          <w:tcPr>
            <w:tcW w:w="257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backend/Dockerfile</w:t>
            </w:r>
            <w:r>
              <w:rPr/>
              <w:t xml:space="preserve">, </w:t>
            </w:r>
            <w:r>
              <w:rPr>
                <w:rStyle w:val="SourceText"/>
              </w:rPr>
              <w:t>voice/Dockerfile</w:t>
            </w:r>
            <w:r>
              <w:rPr/>
              <w:t xml:space="preserve">; outage commit </w:t>
            </w:r>
            <w:r>
              <w:rPr>
                <w:rStyle w:val="SourceText"/>
              </w:rPr>
              <w:t>724fb98</w:t>
            </w:r>
          </w:p>
        </w:tc>
        <w:tc>
          <w:tcPr>
            <w:tcW w:w="97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2026-09-22</w:t>
            </w:r>
          </w:p>
        </w:tc>
        <w:tc>
          <w:tcPr>
            <w:tcW w:w="13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Met</w:t>
            </w:r>
          </w:p>
        </w:tc>
      </w:tr>
    </w:tbl>
    <w:p>
      <w:pPr>
        <w:pStyle w:val="Heading3"/>
        <w:bidi w:val="0"/>
        <w:jc w:val="left"/>
        <w:rPr/>
      </w:pPr>
      <w:r>
        <w:rPr/>
        <w:t xml:space="preserve">2.5 Data protection </w:t>
      </w:r>
      <w:r>
        <w:rPr>
          <w:rStyle w:val="Emphasis"/>
        </w:rPr>
        <w:t>(ISO 9001 8.5.3 customer property)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1960"/>
        <w:gridCol w:w="902"/>
        <w:gridCol w:w="3658"/>
        <w:gridCol w:w="2425"/>
        <w:gridCol w:w="1523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ID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Requirement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Target</w:t>
            </w:r>
          </w:p>
        </w:tc>
        <w:tc>
          <w:tcPr>
            <w:tcW w:w="365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Measured</w:t>
            </w:r>
          </w:p>
        </w:tc>
        <w:tc>
          <w:tcPr>
            <w:tcW w:w="2425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Source</w:t>
            </w:r>
          </w:p>
        </w:tc>
        <w:tc>
          <w:tcPr>
            <w:tcW w:w="1523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NFR-D01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data never leaves the customer perimeter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Absolute</w:t>
            </w:r>
          </w:p>
        </w:tc>
        <w:tc>
          <w:tcPr>
            <w:tcW w:w="36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All inference local; no cloud AI provider enabled; the single cloud image path (</w:t>
            </w:r>
            <w:r>
              <w:rPr>
                <w:rStyle w:val="SourceText"/>
              </w:rPr>
              <w:t>DOCGEN_IMAGE_BACKEND=nim</w:t>
            </w:r>
            <w:r>
              <w:rPr/>
              <w:t>) is disabled</w:t>
            </w:r>
          </w:p>
        </w:tc>
        <w:tc>
          <w:tcPr>
            <w:tcW w:w="2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docker-compose.yml</w:t>
            </w:r>
            <w:r>
              <w:rPr/>
              <w:t xml:space="preserve">; </w:t>
            </w:r>
            <w:r>
              <w:rPr>
                <w:rStyle w:val="SourceText"/>
              </w:rPr>
              <w:t>REG-02</w:t>
            </w:r>
            <w:r>
              <w:rPr/>
              <w:t xml:space="preserve"> §4</w:t>
            </w:r>
          </w:p>
        </w:tc>
        <w:tc>
          <w:tcPr>
            <w:tcW w:w="15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NFR-D02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Encryption at rest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36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None.</w:t>
            </w:r>
            <w:r>
              <w:rPr/>
              <w:t xml:space="preserve"> SQLite, uploads and FAISS indexes are unencrypted</w:t>
            </w:r>
          </w:p>
        </w:tc>
        <w:tc>
          <w:tcPr>
            <w:tcW w:w="2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risk R-13</w:t>
            </w:r>
          </w:p>
        </w:tc>
        <w:tc>
          <w:tcPr>
            <w:tcW w:w="15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 — accepted, disclosed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NFR-D03</w:t>
            </w:r>
          </w:p>
        </w:tc>
        <w:tc>
          <w:tcPr>
            <w:tcW w:w="1960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retention bounded</w:t>
            </w:r>
          </w:p>
        </w:tc>
        <w:tc>
          <w:tcPr>
            <w:tcW w:w="9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Per data class</w:t>
            </w:r>
          </w:p>
        </w:tc>
        <w:tc>
          <w:tcPr>
            <w:tcW w:w="365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No retention policy exists</w:t>
            </w:r>
            <w:r>
              <w:rPr/>
              <w:t>; auto-store grows the corpus continuously (97.6% of chunks were auto-saved transcript at one measurement)</w:t>
            </w:r>
          </w:p>
        </w:tc>
        <w:tc>
          <w:tcPr>
            <w:tcW w:w="2425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REG-03</w:t>
            </w:r>
            <w:r>
              <w:rPr/>
              <w:t xml:space="preserve"> risk R-06; </w:t>
            </w:r>
            <w:r>
              <w:rPr>
                <w:rStyle w:val="SourceText"/>
              </w:rPr>
              <w:t>corpus_stats.json</w:t>
            </w:r>
          </w:p>
        </w:tc>
        <w:tc>
          <w:tcPr>
            <w:tcW w:w="1523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Gap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3. NFRs deliberately NOT measured, and why</w:t>
      </w:r>
    </w:p>
    <w:p>
      <w:pPr>
        <w:pStyle w:val="BodyText"/>
        <w:bidi w:val="0"/>
        <w:jc w:val="left"/>
        <w:rPr/>
      </w:pPr>
      <w:r>
        <w:rPr/>
        <w:t xml:space="preserve">Recording what was </w:t>
      </w:r>
      <w:r>
        <w:rPr>
          <w:rStyle w:val="Emphasis"/>
        </w:rPr>
        <w:t>not</w:t>
      </w:r>
      <w:r>
        <w:rPr/>
        <w:t xml:space="preserve"> done, with the reason, is itself required evidence under 9.1.1. These are transcribed verbatim from the stored results rather than quietly omitted.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27"/>
        <w:gridCol w:w="788"/>
        <w:gridCol w:w="8324"/>
      </w:tblGrid>
      <w:tr>
        <w:trPr>
          <w:tblHeader w:val="true"/>
        </w:trPr>
        <w:tc>
          <w:tcPr>
            <w:tcW w:w="222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Experiment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Status</w:t>
            </w:r>
          </w:p>
        </w:tc>
        <w:tc>
          <w:tcPr>
            <w:tcW w:w="8324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Stated reason</w:t>
            </w:r>
          </w:p>
        </w:tc>
      </w:tr>
      <w:tr>
        <w:trPr/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E2 corpus-scale retrieval sweep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Only 421 of 17,514 chunks are content; far below the 1,000-doc / 50k-chunk scale the method requires</w:t>
            </w:r>
          </w:p>
        </w:tc>
      </w:tr>
      <w:tr>
        <w:trPr/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E6 outcome correctness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Requires two independent annotators with Cohen's kappa; no annotator panel available. An LLM-only rubric would not be a valid substitute</w:t>
            </w:r>
          </w:p>
        </w:tc>
      </w:tr>
      <w:tr>
        <w:trPr/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E8 process efficiency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Measures tool-call recovery; EchoMind has no tool-calling layer, so the metric is undefined</w:t>
            </w:r>
          </w:p>
        </w:tc>
      </w:tr>
      <w:tr>
        <w:trPr/>
        <w:tc>
          <w:tcPr>
            <w:tcW w:w="222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E9 AHP weight elicitation</w:t>
            </w:r>
          </w:p>
        </w:tc>
        <w:tc>
          <w:tcPr>
            <w:tcW w:w="788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not_run</w:t>
            </w:r>
          </w:p>
        </w:tc>
        <w:tc>
          <w:tcPr>
            <w:tcW w:w="8324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Requires ≥3 panels × ≥3 practitioners; synthesising pairwise judgements would fabricate the result</w:t>
            </w:r>
          </w:p>
        </w:tc>
      </w:tr>
    </w:tbl>
    <w:p>
      <w:pPr>
        <w:pStyle w:val="BlockQuotation"/>
        <w:bidi w:val="0"/>
        <w:jc w:val="left"/>
        <w:rPr/>
      </w:pPr>
      <w:r>
        <w:rPr/>
        <w:t xml:space="preserve">This is the organisation's measurement culture working as intended, and it is worth showing the auditor: where an experiment could not be run properly it is reported as not run, never estimated. The same results file also records findings that </w:t>
      </w:r>
      <w:r>
        <w:rPr>
          <w:rStyle w:val="Strong"/>
        </w:rPr>
        <w:t>contradict the project's own published paper</w:t>
      </w:r>
      <w:r>
        <w:rPr/>
        <w:t xml:space="preserve"> (E1 retrieval share, E4 containment being silent rather than reportable).</w:t>
      </w:r>
    </w:p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4. How NFR failures have actually been caught and corrected</w:t>
      </w:r>
    </w:p>
    <w:p>
      <w:pPr>
        <w:pStyle w:val="BodyText"/>
        <w:bidi w:val="0"/>
        <w:jc w:val="left"/>
        <w:rPr/>
      </w:pPr>
      <w:r>
        <w:rPr/>
        <w:t>Evidence that NFR monitoring produces action, not just numbers: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02"/>
        <w:gridCol w:w="6411"/>
        <w:gridCol w:w="3926"/>
      </w:tblGrid>
      <w:tr>
        <w:trPr>
          <w:tblHeader w:val="true"/>
        </w:trPr>
        <w:tc>
          <w:tcPr>
            <w:tcW w:w="1002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NFR</w:t>
            </w:r>
          </w:p>
        </w:tc>
        <w:tc>
          <w:tcPr>
            <w:tcW w:w="64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What happened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Outcome</w:t>
            </w:r>
          </w:p>
        </w:tc>
      </w:tr>
      <w:tr>
        <w:trPr/>
        <w:tc>
          <w:tcPr>
            <w:tcW w:w="10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NFR-S02</w:t>
            </w:r>
          </w:p>
        </w:tc>
        <w:tc>
          <w:tcPr>
            <w:tcW w:w="6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Golden evaluation fell 50/52 → 42/52. Root cause: one retrieval path bypassed the namespace predicate, returning 10/10 out-of-namespace chunks under a tenant-scoped query. </w:t>
            </w:r>
            <w:r>
              <w:rPr>
                <w:rStyle w:val="Strong"/>
              </w:rPr>
              <w:t>Pre-existing and latent</w:t>
            </w:r>
            <w:r>
              <w:rPr/>
              <w:t>; became visible only as the corpus grew.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Fixed (</w:t>
            </w:r>
            <w:r>
              <w:rPr>
                <w:rStyle w:val="SourceText"/>
              </w:rPr>
              <w:t>4e27109</w:t>
            </w:r>
            <w:r>
              <w:rPr/>
              <w:t xml:space="preserve">), all five paths audited, </w:t>
            </w:r>
            <w:r>
              <w:rPr>
                <w:rStyle w:val="Strong"/>
              </w:rPr>
              <w:t>0/359</w:t>
            </w:r>
            <w:r>
              <w:rPr/>
              <w:t xml:space="preserve"> out-of-namespace hits, suite restored to 49/52. Logged as </w:t>
            </w:r>
            <w:r>
              <w:rPr>
                <w:rStyle w:val="SourceText"/>
              </w:rPr>
              <w:t>REG-04</w:t>
            </w:r>
            <w:r>
              <w:rPr/>
              <w:t xml:space="preserve"> NC-2026-001.</w:t>
            </w:r>
          </w:p>
        </w:tc>
      </w:tr>
      <w:tr>
        <w:trPr/>
        <w:tc>
          <w:tcPr>
            <w:tcW w:w="10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NFR-Q05</w:t>
            </w:r>
          </w:p>
        </w:tc>
        <w:tc>
          <w:tcPr>
            <w:tcW w:w="6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 retrieval feature measured </w:t>
            </w:r>
            <w:r>
              <w:rPr>
                <w:rStyle w:val="Emphasis"/>
              </w:rPr>
              <w:t>worse</w:t>
            </w:r>
            <w:r>
              <w:rPr/>
              <w:t xml:space="preserve"> than the baseline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Disabled by default (</w:t>
            </w:r>
            <w:r>
              <w:rPr>
                <w:rStyle w:val="SourceText"/>
              </w:rPr>
              <w:t>2decb99</w:t>
            </w:r>
            <w:r>
              <w:rPr/>
              <w:t>) rather than retained on expectation</w:t>
            </w:r>
          </w:p>
        </w:tc>
      </w:tr>
      <w:tr>
        <w:trPr/>
        <w:tc>
          <w:tcPr>
            <w:tcW w:w="10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NFR-R05</w:t>
            </w:r>
          </w:p>
        </w:tc>
        <w:tc>
          <w:tcPr>
            <w:tcW w:w="6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 moving-branch dependency broke build and runtime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Root-caused, re-pinned, verified on a from-scratch rebuild (</w:t>
            </w:r>
            <w:r>
              <w:rPr>
                <w:rStyle w:val="SourceText"/>
              </w:rPr>
              <w:t>724fb98</w:t>
            </w:r>
            <w:r>
              <w:rPr/>
              <w:t>); permanently pinned 2026-09-22</w:t>
            </w:r>
          </w:p>
        </w:tc>
      </w:tr>
      <w:tr>
        <w:trPr/>
        <w:tc>
          <w:tcPr>
            <w:tcW w:w="1002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NFR-P05/P06</w:t>
            </w:r>
          </w:p>
        </w:tc>
        <w:tc>
          <w:tcPr>
            <w:tcW w:w="64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Voice first-reply latency and STT decode time</w:t>
            </w:r>
          </w:p>
        </w:tc>
        <w:tc>
          <w:tcPr>
            <w:tcW w:w="392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Re-engineered; measured improvement ~2× and ~10× respectively (</w:t>
            </w:r>
            <w:r>
              <w:rPr>
                <w:rStyle w:val="SourceText"/>
              </w:rPr>
              <w:t>ff29843</w:t>
            </w:r>
            <w:r>
              <w:rPr/>
              <w:t xml:space="preserve">, </w:t>
            </w:r>
            <w:r>
              <w:rPr>
                <w:rStyle w:val="SourceText"/>
              </w:rPr>
              <w:t>c2a6ed5</w:t>
            </w:r>
            <w:r>
              <w:rPr/>
              <w:t>)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5. Open actions on this register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6"/>
        <w:gridCol w:w="7711"/>
        <w:gridCol w:w="1686"/>
        <w:gridCol w:w="789"/>
        <w:gridCol w:w="747"/>
      </w:tblGrid>
      <w:tr>
        <w:trPr>
          <w:tblHeader w:val="true"/>
        </w:trPr>
        <w:tc>
          <w:tcPr>
            <w:tcW w:w="40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Ref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Action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Priority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Owner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Due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A-1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 xml:space="preserve">Agree a target for every </w:t>
            </w:r>
            <w:r>
              <w:rPr>
                <w:rStyle w:val="SourceText"/>
              </w:rPr>
              <w:t>not formally set</w:t>
            </w:r>
            <w:r>
              <w:rPr>
                <w:rStyle w:val="Strong"/>
              </w:rPr>
              <w:t xml:space="preserve"> NFR above.</w:t>
            </w:r>
            <w:r>
              <w:rPr/>
              <w:t xml:space="preserve"> Measurement without an agreed threshold cannot show conformity, only activity. This is the substantive remainder of finding #6.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 — before 14 Oct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A-2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~~Re-run the golden evaluation against HEAD~~ — </w:t>
            </w:r>
            <w:r>
              <w:rPr>
                <w:rStyle w:val="Strong"/>
              </w:rPr>
              <w:t>done 2026-09-22; result 9/52, corpus absent.</w:t>
            </w:r>
            <w:r>
              <w:rPr/>
              <w:t xml:space="preserve"> Superseded by A-8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done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A-8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Restore the evaluation corpus and re-measure</w:t>
            </w:r>
            <w:r>
              <w:rPr/>
              <w:t xml:space="preserve"> (</w:t>
            </w:r>
            <w:r>
              <w:rPr>
                <w:rStyle w:val="SourceText"/>
              </w:rPr>
              <w:t>REG-04</w:t>
            </w:r>
            <w:r>
              <w:rPr/>
              <w:t xml:space="preserve"> NC-2026-008). Until this is done the organisation has </w:t>
            </w:r>
            <w:r>
              <w:rPr>
                <w:rStyle w:val="Strong"/>
              </w:rPr>
              <w:t>no current measurement of retrieval quality</w:t>
            </w:r>
            <w:r>
              <w:rPr/>
              <w:t xml:space="preserve"> and cannot evidence NFR-Q01–Q05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Critical — before 7 Oct dry run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A-3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Reconcile the 2025 closure evidence (Confluence / Jenkins / build v1.3.27) with this codebase, or state plainly to the auditor that the product has been rebuilt since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High — before 7 Oct dry run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A-4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Add health checks to </w:t>
            </w:r>
            <w:r>
              <w:rPr>
                <w:rStyle w:val="SourceText"/>
              </w:rPr>
              <w:t>frontend</w:t>
            </w:r>
            <w:r>
              <w:rPr/>
              <w:t xml:space="preserve"> and </w:t>
            </w:r>
            <w:r>
              <w:rPr>
                <w:rStyle w:val="SourceText"/>
              </w:rPr>
              <w:t>cloudflared</w:t>
            </w:r>
            <w:r>
              <w:rPr/>
              <w:t xml:space="preserve"> (NFR-R01)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A-5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Improve NFR-Q04 abstention accuracy (0.78) — it underwrites the product's central claim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A-6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Investigate NFR-P07 barge-in stop time (~2.1 s) against a target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  <w:tr>
        <w:trPr/>
        <w:tc>
          <w:tcPr>
            <w:tcW w:w="4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A-7</w:t>
            </w:r>
          </w:p>
        </w:tc>
        <w:tc>
          <w:tcPr>
            <w:tcW w:w="77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Set the retention policy (NFR-D03) and implement it</w:t>
            </w:r>
          </w:p>
        </w:tc>
        <w:tc>
          <w:tcPr>
            <w:tcW w:w="16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Medium</w:t>
            </w:r>
          </w:p>
        </w:tc>
        <w:tc>
          <w:tcPr>
            <w:tcW w:w="789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747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</w:tr>
    </w:tbl>
    <w:p>
      <w:pPr>
        <w:pStyle w:val="Heading2"/>
        <w:bidi w:val="0"/>
        <w:jc w:val="left"/>
        <w:rPr/>
      </w:pPr>
      <w:r>
        <w:rPr/>
        <w:t>6. Review</w:t>
      </w:r>
    </w:p>
    <w:p>
      <w:pPr>
        <w:pStyle w:val="BodyText"/>
        <w:bidi w:val="0"/>
        <w:jc w:val="left"/>
        <w:rPr/>
      </w:pPr>
      <w:r>
        <w:rPr/>
        <w:t>This register is reviewed at each release (SOP-08), at each management review (SOP-15), and whenever an NFR measurement moves outside its agreed target.</w:t>
      </w:r>
    </w:p>
    <w:tbl>
      <w:tblPr>
        <w:tblW w:w="511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41"/>
        <w:gridCol w:w="1186"/>
        <w:gridCol w:w="2791"/>
      </w:tblGrid>
      <w:tr>
        <w:trPr>
          <w:tblHeader w:val="true"/>
        </w:trPr>
        <w:tc>
          <w:tcPr>
            <w:tcW w:w="114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 date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Reviewed by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Heading"/>
              <w:suppressLineNumbers/>
              <w:shd w:fill="1F3A5F" w:val="clear"/>
              <w:bidi w:val="0"/>
              <w:spacing w:before="0" w:after="283"/>
              <w:jc w:val="center"/>
              <w:rPr/>
            </w:pPr>
            <w:r>
              <w:rPr/>
              <w:t>Changes</w:t>
            </w:r>
          </w:p>
        </w:tc>
      </w:tr>
      <w:tr>
        <w:trPr/>
        <w:tc>
          <w:tcPr>
            <w:tcW w:w="114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118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________</w:t>
            </w:r>
          </w:p>
        </w:tc>
        <w:tc>
          <w:tcPr>
            <w:tcW w:w="279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Initial — set targets per action A-1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Lohit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