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New Use Cases — EchoMind Enterprise</w:t>
      </w:r>
    </w:p>
    <w:p>
      <w:pPr>
        <w:pStyle w:val="Heading1"/>
      </w:pPr>
      <w:r>
        <w:t xml:space="preserve">Document control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9360"/>
      </w:tblGrid>
      <w:tr>
        <w:trPr>
          <w:tblHeader/>
        </w:trP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EM26-26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New Use Cases — EchoMind Enterprise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Issue date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2026-10-13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— 2026-10-13 (AR-2026-005)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AJACE Inc. — 14159 Robert Paris Ct., Suite A, Chantilly, VA 20151, USA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Project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Product (Project 2)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 — 2026-10-13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 — 2026-10-13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 — 2026-10-13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2026-10-13</w:t>
            </w:r>
          </w:p>
        </w:tc>
      </w:tr>
    </w:tbl>
    <w:p>
      <w:pPr>
        <w:pStyle w:val="Heading1"/>
      </w:pPr>
      <w:r>
        <w:t xml:space="preserve">1. From the 2025 university appliance to EchoMind Enterprise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92"/>
        <w:gridCol w:w="4984"/>
        <w:gridCol w:w="5484"/>
      </w:tblGrid>
      <w:tr>
        <w:trPr>
          <w:tblHeader/>
        </w:trPr>
        <w:tc>
          <w:tcPr>
            <w:tcW w:type="dxa" w:w="24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49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2025 university pilot</w:t>
            </w:r>
          </w:p>
        </w:tc>
        <w:tc>
          <w:tcPr>
            <w:tcW w:type="dxa" w:w="54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2026 EchoMind Enterprise</w:t>
            </w:r>
          </w:p>
        </w:tc>
      </w:tr>
      <w:tr>
        <w:tc>
          <w:tcPr>
            <w:tcW w:type="dxa" w:w="24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Platform</w:t>
            </w:r>
          </w:p>
        </w:tc>
        <w:tc>
          <w:tcPr>
            <w:tcW w:type="dxa" w:w="49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Single PC (RTX 4090), five services, Streamlit UI</w:t>
            </w:r>
          </w:p>
        </w:tc>
        <w:tc>
          <w:tcPr>
            <w:tcW w:type="dxa" w:w="54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 DGX Spark, fully offline; TensorRT-LLM</w:t>
            </w:r>
          </w:p>
        </w:tc>
      </w:tr>
      <w:tr>
        <w:tc>
          <w:tcPr>
            <w:tcW w:type="dxa" w:w="24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Capabilities</w:t>
            </w:r>
          </w:p>
        </w:tc>
        <w:tc>
          <w:tcPr>
            <w:tcW w:type="dxa" w:w="49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Live transcript; chatbot with retrieval</w:t>
            </w:r>
          </w:p>
        </w:tc>
        <w:tc>
          <w:tcPr>
            <w:tcW w:type="dxa" w:w="54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Knowledge chat with citations; live transcription with Silent Assistant; Boardroom; voice conversation; Document Studio</w:t>
            </w:r>
          </w:p>
        </w:tc>
      </w:tr>
      <w:tr>
        <w:tc>
          <w:tcPr>
            <w:tcW w:type="dxa" w:w="24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Clients</w:t>
            </w:r>
          </w:p>
        </w:tc>
        <w:tc>
          <w:tcPr>
            <w:tcW w:type="dxa" w:w="49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University research lab (pilot)</w:t>
            </w:r>
          </w:p>
        </w:tc>
        <w:tc>
          <w:tcPr>
            <w:tcW w:type="dxa" w:w="54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A; Client B (Bahrain); Client C (law firm); Client D (Gulf region)</w:t>
            </w:r>
          </w:p>
        </w:tc>
      </w:tr>
      <w:tr>
        <w:tc>
          <w:tcPr>
            <w:tcW w:type="dxa" w:w="24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Delivery</w:t>
            </w:r>
          </w:p>
        </w:tc>
        <w:tc>
          <w:tcPr>
            <w:tcW w:type="dxa" w:w="49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One release, September 2025</w:t>
            </w:r>
          </w:p>
        </w:tc>
        <w:tc>
          <w:tcPr>
            <w:tcW w:type="dxa" w:w="54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Six versions v1.0.0 → v1.4.1, February → October 2026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Use cases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1"/>
        <w:gridCol w:w="2090"/>
        <w:gridCol w:w="1881"/>
        <w:gridCol w:w="3971"/>
        <w:gridCol w:w="1776"/>
        <w:gridCol w:w="1149"/>
        <w:gridCol w:w="1362"/>
      </w:tblGrid>
      <w:tr>
        <w:trPr>
          <w:tblHeader/>
        </w:trPr>
        <w:tc>
          <w:tcPr>
            <w:tcW w:type="dxa" w:w="7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ID</w:t>
            </w:r>
          </w:p>
        </w:tc>
        <w:tc>
          <w:tcPr>
            <w:tcW w:type="dxa" w:w="20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Use case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Requested by</w:t>
            </w:r>
          </w:p>
        </w:tc>
        <w:tc>
          <w:tcPr>
            <w:tcW w:type="dxa" w:w="397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What the user does / gets</w:t>
            </w:r>
          </w:p>
        </w:tc>
        <w:tc>
          <w:tcPr>
            <w:tcW w:type="dxa" w:w="17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Requirements</w:t>
            </w:r>
          </w:p>
        </w:tc>
        <w:tc>
          <w:tcPr>
            <w:tcW w:type="dxa" w:w="114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First version</w:t>
            </w:r>
          </w:p>
        </w:tc>
        <w:tc>
          <w:tcPr>
            <w:tcW w:type="dxa" w:w="13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Review</w:t>
            </w:r>
          </w:p>
        </w:tc>
      </w:tr>
      <w:tr>
        <w:tc>
          <w:tcPr>
            <w:tcW w:type="dxa" w:w="7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UC-01</w:t>
            </w:r>
          </w:p>
        </w:tc>
        <w:tc>
          <w:tcPr>
            <w:tcW w:type="dxa" w:w="20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Personal AI assistant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A; Client B (Bahrain)</w:t>
            </w:r>
          </w:p>
        </w:tc>
        <w:tc>
          <w:tcPr>
            <w:tcW w:type="dxa" w:w="397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 user talks to EchoMind; it answers, remembers the conversation, wakes on its name and can listen without replying</w:t>
            </w:r>
          </w:p>
        </w:tc>
        <w:tc>
          <w:tcPr>
            <w:tcW w:type="dxa" w:w="17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FR-VC-03, FR-KC-05</w:t>
            </w:r>
          </w:p>
        </w:tc>
        <w:tc>
          <w:tcPr>
            <w:tcW w:type="dxa" w:w="114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v1.0.0</w:t>
            </w:r>
          </w:p>
        </w:tc>
        <w:tc>
          <w:tcPr>
            <w:tcW w:type="dxa" w:w="13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CR-2026-02</w:t>
            </w:r>
          </w:p>
        </w:tc>
      </w:tr>
      <w:tr>
        <w:tc>
          <w:tcPr>
            <w:tcW w:type="dxa" w:w="7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UC-02</w:t>
            </w:r>
          </w:p>
        </w:tc>
        <w:tc>
          <w:tcPr>
            <w:tcW w:type="dxa" w:w="20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Conversation assistance grounded in the client's data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A; Client B (Bahrain)</w:t>
            </w:r>
          </w:p>
        </w:tc>
        <w:tc>
          <w:tcPr>
            <w:tcW w:type="dxa" w:w="397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Natural spoken conversation answered from the client's knowledge base, interruptible, first reply in under a second</w:t>
            </w:r>
          </w:p>
        </w:tc>
        <w:tc>
          <w:tcPr>
            <w:tcW w:type="dxa" w:w="17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FR-VC-01, FR-VC-02; NFR-P04, P07</w:t>
            </w:r>
          </w:p>
        </w:tc>
        <w:tc>
          <w:tcPr>
            <w:tcW w:type="dxa" w:w="114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v1.1.0</w:t>
            </w:r>
          </w:p>
        </w:tc>
        <w:tc>
          <w:tcPr>
            <w:tcW w:type="dxa" w:w="13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CR-2026-03, CR-2026-04</w:t>
            </w:r>
          </w:p>
        </w:tc>
      </w:tr>
      <w:tr>
        <w:tc>
          <w:tcPr>
            <w:tcW w:type="dxa" w:w="7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UC-03</w:t>
            </w:r>
          </w:p>
        </w:tc>
        <w:tc>
          <w:tcPr>
            <w:tcW w:type="dxa" w:w="20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Financial-regulation knowledge base (DoD FMR)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A; Client B (Bahrain)</w:t>
            </w:r>
          </w:p>
        </w:tc>
        <w:tc>
          <w:tcPr>
            <w:tcW w:type="dxa" w:w="397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Ask questions of a 7,300-page regulation and get the answer with section and page citations</w:t>
            </w:r>
          </w:p>
        </w:tc>
        <w:tc>
          <w:tcPr>
            <w:tcW w:type="dxa" w:w="17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FR-KC-04, FR-KC-02; NFR-Q01–Q04</w:t>
            </w:r>
          </w:p>
        </w:tc>
        <w:tc>
          <w:tcPr>
            <w:tcW w:type="dxa" w:w="114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v1.1.0</w:t>
            </w:r>
          </w:p>
        </w:tc>
        <w:tc>
          <w:tcPr>
            <w:tcW w:type="dxa" w:w="13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CR-2026-02</w:t>
            </w:r>
          </w:p>
        </w:tc>
      </w:tr>
      <w:tr>
        <w:tc>
          <w:tcPr>
            <w:tcW w:type="dxa" w:w="7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UC-04</w:t>
            </w:r>
          </w:p>
        </w:tc>
        <w:tc>
          <w:tcPr>
            <w:tcW w:type="dxa" w:w="20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Accurate live transcription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</w:t>
            </w:r>
          </w:p>
        </w:tc>
        <w:tc>
          <w:tcPr>
            <w:tcW w:type="dxa" w:w="397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Live transcript with accurate domain terms (Parakeet final, streaming fallback)</w:t>
            </w:r>
          </w:p>
        </w:tc>
        <w:tc>
          <w:tcPr>
            <w:tcW w:type="dxa" w:w="17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FR-LT-01, FR-LT-02; NFR-P06</w:t>
            </w:r>
          </w:p>
        </w:tc>
        <w:tc>
          <w:tcPr>
            <w:tcW w:type="dxa" w:w="114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v1.1.0 → v1.2.0</w:t>
            </w:r>
          </w:p>
        </w:tc>
        <w:tc>
          <w:tcPr>
            <w:tcW w:type="dxa" w:w="13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CR-2026-06</w:t>
            </w:r>
          </w:p>
        </w:tc>
      </w:tr>
      <w:tr>
        <w:tc>
          <w:tcPr>
            <w:tcW w:type="dxa" w:w="7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UC-05</w:t>
            </w:r>
          </w:p>
        </w:tc>
        <w:tc>
          <w:tcPr>
            <w:tcW w:type="dxa" w:w="20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Silent Assistant for a law firm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C (law firm)</w:t>
            </w:r>
          </w:p>
        </w:tc>
        <w:tc>
          <w:tcPr>
            <w:tcW w:type="dxa" w:w="397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While people speak, EchoMind checks each statement against the documents and puts the proof on screen without speaking</w:t>
            </w:r>
          </w:p>
        </w:tc>
        <w:tc>
          <w:tcPr>
            <w:tcW w:type="dxa" w:w="17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FR-SA-01 … 03</w:t>
            </w:r>
          </w:p>
        </w:tc>
        <w:tc>
          <w:tcPr>
            <w:tcW w:type="dxa" w:w="114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v1.2.0 → v1.3.0</w:t>
            </w:r>
          </w:p>
        </w:tc>
        <w:tc>
          <w:tcPr>
            <w:tcW w:type="dxa" w:w="13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CR-2026-07</w:t>
            </w:r>
          </w:p>
        </w:tc>
      </w:tr>
      <w:tr>
        <w:tc>
          <w:tcPr>
            <w:tcW w:type="dxa" w:w="7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UC-06</w:t>
            </w:r>
          </w:p>
        </w:tc>
        <w:tc>
          <w:tcPr>
            <w:tcW w:type="dxa" w:w="20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Boardroom — group discussions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team</w:t>
            </w:r>
          </w:p>
        </w:tc>
        <w:tc>
          <w:tcPr>
            <w:tcW w:type="dxa" w:w="397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 a meeting; speaker-separated transcript; meeting report as PDF or PPTX</w:t>
            </w:r>
          </w:p>
        </w:tc>
        <w:tc>
          <w:tcPr>
            <w:tcW w:type="dxa" w:w="17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FR-BR-01, FR-BR-02</w:t>
            </w:r>
          </w:p>
        </w:tc>
        <w:tc>
          <w:tcPr>
            <w:tcW w:type="dxa" w:w="114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v1.2.0</w:t>
            </w:r>
          </w:p>
        </w:tc>
        <w:tc>
          <w:tcPr>
            <w:tcW w:type="dxa" w:w="13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CR-2026-08</w:t>
            </w:r>
          </w:p>
        </w:tc>
      </w:tr>
      <w:tr>
        <w:tc>
          <w:tcPr>
            <w:tcW w:type="dxa" w:w="7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UC-07</w:t>
            </w:r>
          </w:p>
        </w:tc>
        <w:tc>
          <w:tcPr>
            <w:tcW w:type="dxa" w:w="20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Studio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D (Gulf region)</w:t>
            </w:r>
          </w:p>
        </w:tc>
        <w:tc>
          <w:tcPr>
            <w:tcW w:type="dxa" w:w="397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Create PPT and PDF documents locally from a topic, chat or documents, with or without a template, with on-device images</w:t>
            </w:r>
          </w:p>
        </w:tc>
        <w:tc>
          <w:tcPr>
            <w:tcW w:type="dxa" w:w="17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FR-DS-01 … 04</w:t>
            </w:r>
          </w:p>
        </w:tc>
        <w:tc>
          <w:tcPr>
            <w:tcW w:type="dxa" w:w="114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v1.2.0</w:t>
            </w:r>
          </w:p>
        </w:tc>
        <w:tc>
          <w:tcPr>
            <w:tcW w:type="dxa" w:w="13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CR-2026-09</w:t>
            </w:r>
          </w:p>
        </w:tc>
      </w:tr>
      <w:tr>
        <w:tc>
          <w:tcPr>
            <w:tcW w:type="dxa" w:w="7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UC-08</w:t>
            </w:r>
          </w:p>
        </w:tc>
        <w:tc>
          <w:tcPr>
            <w:tcW w:type="dxa" w:w="20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Field deployment without a network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  <w:tc>
          <w:tcPr>
            <w:tcW w:type="dxa" w:w="397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The unit raises its own hotspot at boot; users connect and open the applications from a landing page</w:t>
            </w:r>
          </w:p>
        </w:tc>
        <w:tc>
          <w:tcPr>
            <w:tcW w:type="dxa" w:w="17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FR-PL-06</w:t>
            </w:r>
          </w:p>
        </w:tc>
        <w:tc>
          <w:tcPr>
            <w:tcW w:type="dxa" w:w="114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v1.1.0</w:t>
            </w:r>
          </w:p>
        </w:tc>
        <w:tc>
          <w:tcPr>
            <w:tcW w:type="dxa" w:w="13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CR-2026-05</w:t>
            </w:r>
          </w:p>
        </w:tc>
      </w:tr>
      <w:tr>
        <w:tc>
          <w:tcPr>
            <w:tcW w:type="dxa" w:w="73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UC-09</w:t>
            </w:r>
          </w:p>
        </w:tc>
        <w:tc>
          <w:tcPr>
            <w:tcW w:type="dxa" w:w="209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Secure export from offline to online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vision</w:t>
            </w:r>
          </w:p>
        </w:tc>
        <w:tc>
          <w:tcPr>
            <w:tcW w:type="dxa" w:w="397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Before content leaves the offline system, personal data and keys are found and redacted</w:t>
            </w:r>
          </w:p>
        </w:tc>
        <w:tc>
          <w:tcPr>
            <w:tcW w:type="dxa" w:w="17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FR-PL-04; NFR-S08</w:t>
            </w:r>
          </w:p>
        </w:tc>
        <w:tc>
          <w:tcPr>
            <w:tcW w:type="dxa" w:w="114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v1.2.0</w:t>
            </w:r>
          </w:p>
        </w:tc>
        <w:tc>
          <w:tcPr>
            <w:tcW w:type="dxa" w:w="136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How each use case was verified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UC-01, UC-02: research harness E4/E7 (2026-08-07) and 12 spoken turns on two personas (2026-09-21).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UC-03: golden-question suite 50/52 (2026-07-30); citation precision 0.979.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UC-04: Parakeet final transcript with streaming fallback (b6a70d8); manual microphone test TC-EM-TRN-112 outstanding.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UC-05: scenario harness; sentence-level checks with quoted proof (7f2658a).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UC-06: TC-EM-BRD-111 (pass, run 4).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UC-07: TC-EM-DGEN-110 (pass, run 4).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UC-08: demonstrated on the deployment unit; configuration to be added to the repository (AC-26).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UC-09: TC-EM-EXP-108 (pass, run 4).</w:t>
      </w:r>
    </w:p>
    <w:p>
      <w:pPr>
        <w:pStyle w:val="Heading1"/>
      </w:pPr>
      <w:r>
        <w:t xml:space="preserve">4. Next use cases (proposed)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Edge devices that use the host's knowledge base while staying offline.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Full approval workflow for offline → online export.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Building-block kit for client-specific deployments.</w:t>
      </w:r>
    </w:p>
    <w:sectPr>
      <w:headerReference w:type="default" r:id="rId6"/>
      <w:footerReference w:type="default" r:id="rId7"/>
      <w:pgSz w:w="15840" w:h="12240" w:orient="landscape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29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129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New Use Cases — EchoMind Enterprise</dc:title>
  <dc:creator>Ajace Inc. — EchoMind QMS</dc:creator>
  <cp:lastModifiedBy>Un-named</cp:lastModifiedBy>
  <cp:revision>1</cp:revision>
  <dcterms:created xsi:type="dcterms:W3CDTF">2026-10-13T19:31:20.303Z</dcterms:created>
  <dcterms:modified xsi:type="dcterms:W3CDTF">2026-10-13T19:31:20.303Z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