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SOP-01 — Control of Documented Information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606"/>
        <w:gridCol w:w="8732"/>
      </w:tblGrid>
      <w:tr>
        <w:trPr>
          <w:tblHeader w:val="true"/>
        </w:trPr>
        <w:tc>
          <w:tcPr>
            <w:tcW w:w="2606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873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Value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Document ID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SOP-01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Revision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Status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APPROVED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Owner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Managing Director (Anita Johan)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 by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 (Managing Director)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Approval date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ISO 9001:2015 clauses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7.5.1, 7.5.2, 7.5.3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Prepared by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 (Lead Engineer) — 2026-10-07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Reviewed by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Alexander Peter (EchoMind Project Lead) — 2026-10-07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assurance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Sheryl Nazareth (QA / MR) — 2026-10-07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Approval record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records/approvals/2026-10-07_AR-2026-001_document_approval.md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Purpose</w:t>
      </w:r>
    </w:p>
    <w:p>
      <w:pPr>
        <w:pStyle w:val="BodyText"/>
        <w:bidi w:val="0"/>
        <w:jc w:val="left"/>
        <w:rPr/>
      </w:pPr>
      <w:r>
        <w:rPr/>
        <w:t>To define how Ajace AI creates, approves, distributes, changes, retains and disposes of the documented information required by the quality management system (QMS) and by ISO 9001:2015.</w:t>
      </w:r>
    </w:p>
    <w:p>
      <w:pPr>
        <w:pStyle w:val="Heading2"/>
        <w:bidi w:val="0"/>
        <w:jc w:val="left"/>
        <w:rPr/>
      </w:pPr>
      <w:r>
        <w:rPr/>
        <w:t>2. Scope</w:t>
      </w:r>
    </w:p>
    <w:p>
      <w:pPr>
        <w:pStyle w:val="BodyText"/>
        <w:bidi w:val="0"/>
        <w:jc w:val="left"/>
        <w:rPr/>
      </w:pPr>
      <w:r>
        <w:rPr/>
        <w:t xml:space="preserve">All QMS documents and records listed in </w:t>
      </w:r>
      <w:r>
        <w:rPr>
          <w:rStyle w:val="SourceText"/>
        </w:rPr>
        <w:t>registers/REG-01_Document_Control_Register.md</w:t>
      </w:r>
      <w:r>
        <w:rPr/>
        <w:t>, plus the engineering documentation held in this repository that the QMS relies on as evidence.</w:t>
      </w:r>
    </w:p>
    <w:p>
      <w:pPr>
        <w:pStyle w:val="Heading2"/>
        <w:bidi w:val="0"/>
        <w:jc w:val="left"/>
        <w:rPr/>
      </w:pPr>
      <w:r>
        <w:rPr/>
        <w:t>3. Principle: the repository is the document control system</w:t>
      </w:r>
    </w:p>
    <w:p>
      <w:pPr>
        <w:pStyle w:val="BodyText"/>
        <w:bidi w:val="0"/>
        <w:jc w:val="left"/>
        <w:rPr/>
      </w:pPr>
      <w:r>
        <w:rPr/>
        <w:t xml:space="preserve">Ajace AI is a software organisation with an existing, enforced version-control discipline. Rather than maintain a parallel document system that would drift from reality, the QMS uses </w:t>
      </w:r>
      <w:r>
        <w:rPr>
          <w:rStyle w:val="Strong"/>
        </w:rPr>
        <w:t>Git</w:t>
      </w:r>
      <w:r>
        <w:rPr/>
        <w:t xml:space="preserve"> as its control mechanism. This satisfies ISO 9001:2015 7.5.3 as follows.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541"/>
        <w:gridCol w:w="7798"/>
      </w:tblGrid>
      <w:tr>
        <w:trPr>
          <w:tblHeader w:val="true"/>
        </w:trPr>
        <w:tc>
          <w:tcPr>
            <w:tcW w:w="3541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ISO 9001:2015 7.5.3 requirement</w:t>
            </w:r>
          </w:p>
        </w:tc>
        <w:tc>
          <w:tcPr>
            <w:tcW w:w="779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How Git satisfies it</w:t>
            </w:r>
          </w:p>
        </w:tc>
      </w:tr>
      <w:tr>
        <w:trPr/>
        <w:tc>
          <w:tcPr>
            <w:tcW w:w="354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Available and suitable for use</w:t>
            </w:r>
          </w:p>
        </w:tc>
        <w:tc>
          <w:tcPr>
            <w:tcW w:w="779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Documents live in </w:t>
            </w:r>
            <w:r>
              <w:rPr>
                <w:rStyle w:val="SourceText"/>
              </w:rPr>
              <w:t>docs/qms/</w:t>
            </w:r>
            <w:r>
              <w:rPr/>
              <w:t xml:space="preserve"> in the product repository; every engineer has a working copy</w:t>
            </w:r>
          </w:p>
        </w:tc>
      </w:tr>
      <w:tr>
        <w:trPr/>
        <w:tc>
          <w:tcPr>
            <w:tcW w:w="354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Adequately protected (loss of confidentiality, improper use, loss of integrity)</w:t>
            </w:r>
          </w:p>
        </w:tc>
        <w:tc>
          <w:tcPr>
            <w:tcW w:w="779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Repository access is controlled by the Git hosting account; history is immutable in practice — content cannot be silently altered because every change is a commit with an author and timestamp</w:t>
            </w:r>
          </w:p>
        </w:tc>
      </w:tr>
      <w:tr>
        <w:trPr/>
        <w:tc>
          <w:tcPr>
            <w:tcW w:w="354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Distribution, access, retrieval, use</w:t>
            </w:r>
          </w:p>
        </w:tc>
        <w:tc>
          <w:tcPr>
            <w:tcW w:w="779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git clone</w:t>
            </w:r>
            <w:r>
              <w:rPr/>
              <w:t xml:space="preserve"> / </w:t>
            </w:r>
            <w:r>
              <w:rPr>
                <w:rStyle w:val="SourceText"/>
              </w:rPr>
              <w:t>git pull</w:t>
            </w:r>
            <w:r>
              <w:rPr/>
              <w:t xml:space="preserve">; </w:t>
            </w:r>
            <w:r>
              <w:rPr>
                <w:rStyle w:val="SourceText"/>
              </w:rPr>
              <w:t>docs/qms/README.md</w:t>
            </w:r>
            <w:r>
              <w:rPr/>
              <w:t xml:space="preserve"> is the index</w:t>
            </w:r>
          </w:p>
        </w:tc>
      </w:tr>
      <w:tr>
        <w:trPr/>
        <w:tc>
          <w:tcPr>
            <w:tcW w:w="354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Storage and preservation</w:t>
            </w:r>
          </w:p>
        </w:tc>
        <w:tc>
          <w:tcPr>
            <w:tcW w:w="779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Remote origin plus every clone is a replica</w:t>
            </w:r>
          </w:p>
        </w:tc>
      </w:tr>
      <w:tr>
        <w:trPr/>
        <w:tc>
          <w:tcPr>
            <w:tcW w:w="354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Control of changes (version control)</w:t>
            </w:r>
          </w:p>
        </w:tc>
        <w:tc>
          <w:tcPr>
            <w:tcW w:w="779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Commit history is the revision history; </w:t>
            </w:r>
            <w:r>
              <w:rPr>
                <w:rStyle w:val="SourceText"/>
              </w:rPr>
              <w:t>git log --follow &lt;file&gt;</w:t>
            </w:r>
            <w:r>
              <w:rPr/>
              <w:t xml:space="preserve"> is the change record for any document</w:t>
            </w:r>
          </w:p>
        </w:tc>
      </w:tr>
      <w:tr>
        <w:trPr/>
        <w:tc>
          <w:tcPr>
            <w:tcW w:w="354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Retention and disposition</w:t>
            </w:r>
          </w:p>
        </w:tc>
        <w:tc>
          <w:tcPr>
            <w:tcW w:w="779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Section 8 of this procedure</w:t>
            </w:r>
          </w:p>
        </w:tc>
      </w:tr>
      <w:tr>
        <w:trPr/>
        <w:tc>
          <w:tcPr>
            <w:tcW w:w="3541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Identification of documents of external origin</w:t>
            </w:r>
          </w:p>
        </w:tc>
        <w:tc>
          <w:tcPr>
            <w:tcW w:w="779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Section 7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Consequence:</w:t>
      </w:r>
      <w:r>
        <w:rPr/>
        <w:t xml:space="preserve"> the Git commit that changes a QMS document </w:t>
      </w:r>
      <w:r>
        <w:rPr>
          <w:rStyle w:val="Emphasis"/>
        </w:rPr>
        <w:t>is</w:t>
      </w:r>
      <w:r>
        <w:rPr/>
        <w:t xml:space="preserve"> the change record. No separate change log needs to be maintained inside each document, and none should be — two records of the same change will disagree eventually.</w:t>
      </w:r>
    </w:p>
    <w:p>
      <w:pPr>
        <w:pStyle w:val="Heading2"/>
        <w:bidi w:val="0"/>
        <w:jc w:val="left"/>
        <w:rPr/>
      </w:pPr>
      <w:r>
        <w:rPr/>
        <w:t>4. Document identification</w:t>
      </w:r>
    </w:p>
    <w:p>
      <w:pPr>
        <w:pStyle w:val="BodyText"/>
        <w:bidi w:val="0"/>
        <w:jc w:val="left"/>
        <w:rPr/>
      </w:pPr>
      <w:r>
        <w:rPr/>
        <w:t>Every controlled document carries a header table with: Document ID, Revision, Status, Owner, Approved by, Approval date, and the ISO 9001:2015 clauses it addresses.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511"/>
        <w:gridCol w:w="4512"/>
        <w:gridCol w:w="5315"/>
      </w:tblGrid>
      <w:tr>
        <w:trPr>
          <w:tblHeader w:val="true"/>
        </w:trPr>
        <w:tc>
          <w:tcPr>
            <w:tcW w:w="1511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Prefix</w:t>
            </w:r>
          </w:p>
        </w:tc>
        <w:tc>
          <w:tcPr>
            <w:tcW w:w="451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Meaning</w:t>
            </w:r>
          </w:p>
        </w:tc>
        <w:tc>
          <w:tcPr>
            <w:tcW w:w="531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Location</w:t>
            </w:r>
          </w:p>
        </w:tc>
      </w:tr>
      <w:tr>
        <w:trPr/>
        <w:tc>
          <w:tcPr>
            <w:tcW w:w="151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QM-</w:t>
            </w:r>
          </w:p>
        </w:tc>
        <w:tc>
          <w:tcPr>
            <w:tcW w:w="451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Manual</w:t>
            </w:r>
          </w:p>
        </w:tc>
        <w:tc>
          <w:tcPr>
            <w:tcW w:w="531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docs/qms/</w:t>
            </w:r>
          </w:p>
        </w:tc>
      </w:tr>
      <w:tr>
        <w:trPr/>
        <w:tc>
          <w:tcPr>
            <w:tcW w:w="151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QP-</w:t>
            </w:r>
          </w:p>
        </w:tc>
        <w:tc>
          <w:tcPr>
            <w:tcW w:w="451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Policy</w:t>
            </w:r>
          </w:p>
        </w:tc>
        <w:tc>
          <w:tcPr>
            <w:tcW w:w="531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docs/qms/</w:t>
            </w:r>
          </w:p>
        </w:tc>
      </w:tr>
      <w:tr>
        <w:trPr/>
        <w:tc>
          <w:tcPr>
            <w:tcW w:w="151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QO-</w:t>
            </w:r>
          </w:p>
        </w:tc>
        <w:tc>
          <w:tcPr>
            <w:tcW w:w="451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objectives</w:t>
            </w:r>
          </w:p>
        </w:tc>
        <w:tc>
          <w:tcPr>
            <w:tcW w:w="531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docs/qms/</w:t>
            </w:r>
          </w:p>
        </w:tc>
      </w:tr>
      <w:tr>
        <w:trPr/>
        <w:tc>
          <w:tcPr>
            <w:tcW w:w="151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SOP-</w:t>
            </w:r>
          </w:p>
        </w:tc>
        <w:tc>
          <w:tcPr>
            <w:tcW w:w="451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Procedure</w:t>
            </w:r>
          </w:p>
        </w:tc>
        <w:tc>
          <w:tcPr>
            <w:tcW w:w="531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docs/qms/procedures/</w:t>
            </w:r>
          </w:p>
        </w:tc>
      </w:tr>
      <w:tr>
        <w:trPr/>
        <w:tc>
          <w:tcPr>
            <w:tcW w:w="151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FRM-</w:t>
            </w:r>
          </w:p>
        </w:tc>
        <w:tc>
          <w:tcPr>
            <w:tcW w:w="451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Form / template (blank)</w:t>
            </w:r>
          </w:p>
        </w:tc>
        <w:tc>
          <w:tcPr>
            <w:tcW w:w="531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docs/qms/forms/</w:t>
            </w:r>
          </w:p>
        </w:tc>
      </w:tr>
      <w:tr>
        <w:trPr/>
        <w:tc>
          <w:tcPr>
            <w:tcW w:w="1511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REG-</w:t>
            </w:r>
          </w:p>
        </w:tc>
        <w:tc>
          <w:tcPr>
            <w:tcW w:w="451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Register (live record)</w:t>
            </w:r>
          </w:p>
        </w:tc>
        <w:tc>
          <w:tcPr>
            <w:tcW w:w="531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docs/qms/registers/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Filenames follow </w:t>
      </w:r>
      <w:r>
        <w:rPr>
          <w:rStyle w:val="SourceText"/>
        </w:rPr>
        <w:t>&lt;ID&gt;_&lt;Title_With_Underscores&gt;.md</w:t>
      </w:r>
      <w:r>
        <w:rPr/>
        <w:t>. IDs are never reused: a withdrawn document's ID is retired.</w:t>
      </w:r>
    </w:p>
    <w:p>
      <w:pPr>
        <w:pStyle w:val="Heading2"/>
        <w:bidi w:val="0"/>
        <w:jc w:val="left"/>
        <w:rPr/>
      </w:pPr>
      <w:r>
        <w:rPr/>
        <w:t>5. Revision and status</w:t>
      </w:r>
    </w:p>
    <w:p>
      <w:pPr>
        <w:pStyle w:val="BodyText"/>
        <w:bidi w:val="0"/>
        <w:jc w:val="left"/>
        <w:rPr/>
      </w:pPr>
      <w:r>
        <w:rPr>
          <w:rStyle w:val="Strong"/>
        </w:rPr>
        <w:t>Revision numbering.</w:t>
      </w:r>
      <w:r>
        <w:rPr/>
        <w:t xml:space="preserve"> </w:t>
      </w:r>
      <w:r>
        <w:rPr>
          <w:rStyle w:val="SourceText"/>
        </w:rPr>
        <w:t>MAJOR.MINOR</w:t>
      </w:r>
      <w:r>
        <w:rPr/>
        <w:t>. Increment MINOR for clarification that does not change what anyone must do. Increment MAJOR when the required actions, responsibilities or records change — a MAJOR increment requires re-approval and re-communication.</w:t>
      </w:r>
    </w:p>
    <w:p>
      <w:pPr>
        <w:pStyle w:val="BodyText"/>
        <w:bidi w:val="0"/>
        <w:jc w:val="left"/>
        <w:rPr/>
      </w:pPr>
      <w:r>
        <w:rPr>
          <w:rStyle w:val="Strong"/>
        </w:rPr>
        <w:t>Status</w:t>
      </w:r>
      <w:r>
        <w:rPr/>
        <w:t xml:space="preserve"> is one of: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328"/>
        <w:gridCol w:w="8010"/>
      </w:tblGrid>
      <w:tr>
        <w:trPr>
          <w:tblHeader w:val="true"/>
        </w:trPr>
        <w:tc>
          <w:tcPr>
            <w:tcW w:w="3328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Status</w:t>
            </w:r>
          </w:p>
        </w:tc>
        <w:tc>
          <w:tcPr>
            <w:tcW w:w="8010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Meaning</w:t>
            </w:r>
          </w:p>
        </w:tc>
      </w:tr>
      <w:tr>
        <w:trPr/>
        <w:tc>
          <w:tcPr>
            <w:tcW w:w="332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DRAFT — not yet approved</w:t>
            </w:r>
          </w:p>
        </w:tc>
        <w:tc>
          <w:tcPr>
            <w:tcW w:w="801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Authored but carrying no authority. Must not be presented as an approved control.</w:t>
            </w:r>
          </w:p>
        </w:tc>
      </w:tr>
      <w:tr>
        <w:trPr/>
        <w:tc>
          <w:tcPr>
            <w:tcW w:w="332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APPROVED</w:t>
            </w:r>
          </w:p>
        </w:tc>
        <w:tc>
          <w:tcPr>
            <w:tcW w:w="801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Signed by the named approver on the stated date; in force.</w:t>
            </w:r>
          </w:p>
        </w:tc>
      </w:tr>
      <w:tr>
        <w:trPr/>
        <w:tc>
          <w:tcPr>
            <w:tcW w:w="332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SUPERSEDED BY &lt;ID&gt;</w:t>
            </w:r>
          </w:p>
        </w:tc>
        <w:tc>
          <w:tcPr>
            <w:tcW w:w="801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Replaced; retained for retention period only.</w:t>
            </w:r>
          </w:p>
        </w:tc>
      </w:tr>
      <w:tr>
        <w:trPr/>
        <w:tc>
          <w:tcPr>
            <w:tcW w:w="3328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WITHDRAWN</w:t>
            </w:r>
          </w:p>
        </w:tc>
        <w:tc>
          <w:tcPr>
            <w:tcW w:w="8010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 longer part of the QMS; retained for retention period only.</w:t>
            </w:r>
          </w:p>
        </w:tc>
      </w:tr>
    </w:tbl>
    <w:p>
      <w:pPr>
        <w:pStyle w:val="BlockQuotation"/>
        <w:bidi w:val="0"/>
        <w:jc w:val="left"/>
        <w:rPr/>
      </w:pPr>
      <w:r>
        <w:rPr/>
        <w:t xml:space="preserve">The initial set was </w:t>
      </w:r>
      <w:r>
        <w:rPr>
          <w:rStyle w:val="SourceText"/>
        </w:rPr>
        <w:t>DRAFT — not yet approved</w:t>
      </w:r>
      <w:r>
        <w:rPr/>
        <w:t xml:space="preserve"> from 2026-09-21 until 2026-10-07, when it was approved by Anita Johan (Managing Director) — approval record </w:t>
      </w:r>
      <w:r>
        <w:rPr>
          <w:rStyle w:val="SourceText"/>
        </w:rPr>
        <w:t>records/approvals/2026-10-07_AR-2026-001_document_approval.md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>6. Creation, review and approval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The author drafts or amends the document on a Git branch.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The document Owner reviews it for technical accuracy — does it describe what we actually do?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Top management approves it by completing the </w:t>
      </w:r>
      <w:r>
        <w:rPr>
          <w:rStyle w:val="Emphasis"/>
        </w:rPr>
        <w:t>Approved by</w:t>
      </w:r>
      <w:r>
        <w:rPr/>
        <w:t xml:space="preserve"> and </w:t>
      </w:r>
      <w:r>
        <w:rPr>
          <w:rStyle w:val="Emphasis"/>
        </w:rPr>
        <w:t>Approval date</w:t>
      </w:r>
      <w:r>
        <w:rPr/>
        <w:t xml:space="preserve"> fields and setting Status to </w:t>
      </w:r>
      <w:r>
        <w:rPr>
          <w:rStyle w:val="SourceText"/>
        </w:rPr>
        <w:t>APPROVED</w:t>
      </w:r>
      <w:r>
        <w:rPr/>
        <w:t xml:space="preserve">, in a commit made or explicitly authorised by that person.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The change is merged to </w:t>
      </w:r>
      <w:r>
        <w:rPr>
          <w:rStyle w:val="SourceText"/>
        </w:rPr>
        <w:t>main</w:t>
      </w:r>
      <w:r>
        <w:rPr/>
        <w:t xml:space="preserve">. The merge commit is the distribution event.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Where the change is MAJOR, the Owner communicates it to affected personnel and records that communication in </w:t>
      </w:r>
      <w:r>
        <w:rPr>
          <w:rStyle w:val="SourceText"/>
        </w:rPr>
        <w:t>registers/REG-05_Competence_and_Training_Record.md</w:t>
      </w:r>
      <w:r>
        <w:rPr/>
        <w:t xml:space="preserve">. </w:t>
      </w:r>
    </w:p>
    <w:p>
      <w:pPr>
        <w:pStyle w:val="BodyText"/>
        <w:bidi w:val="0"/>
        <w:jc w:val="left"/>
        <w:rPr/>
      </w:pPr>
      <w:r>
        <w:rPr>
          <w:rStyle w:val="Strong"/>
        </w:rPr>
        <w:t>Approval must be a human act.</w:t>
      </w:r>
      <w:r>
        <w:rPr/>
        <w:t xml:space="preserve"> Signature and date fields are completed by the named person. They are never pre-filled, back-dated, or filled in on someone's behalf.</w:t>
      </w:r>
    </w:p>
    <w:p>
      <w:pPr>
        <w:pStyle w:val="Heading2"/>
        <w:bidi w:val="0"/>
        <w:jc w:val="left"/>
        <w:rPr/>
      </w:pPr>
      <w:r>
        <w:rPr/>
        <w:t>7. Documents of external origin</w:t>
      </w:r>
    </w:p>
    <w:p>
      <w:pPr>
        <w:pStyle w:val="BodyText"/>
        <w:bidi w:val="0"/>
        <w:jc w:val="left"/>
        <w:rPr/>
      </w:pPr>
      <w:r>
        <w:rPr/>
        <w:t xml:space="preserve">Documents originating outside Ajace AI that the QMS depends on — the ISO 9001:2015 standard text, model cards and licences for the open-weight models, third-party library licences, customer-supplied specifications — are identified in </w:t>
      </w:r>
      <w:r>
        <w:rPr>
          <w:rStyle w:val="SourceText"/>
        </w:rPr>
        <w:t>registers/REG-02_External_Documents_and_Providers.md</w:t>
      </w:r>
      <w:r>
        <w:rPr/>
        <w:t xml:space="preserve"> with their source and the version/date in use. They are not edited. Where a copy is held in the repository it is stored unmodified.</w:t>
      </w:r>
    </w:p>
    <w:p>
      <w:pPr>
        <w:pStyle w:val="Heading2"/>
        <w:bidi w:val="0"/>
        <w:jc w:val="left"/>
        <w:rPr/>
      </w:pPr>
      <w:r>
        <w:rPr/>
        <w:t>8. Retention and disposition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5328"/>
        <w:gridCol w:w="3123"/>
        <w:gridCol w:w="2888"/>
      </w:tblGrid>
      <w:tr>
        <w:trPr>
          <w:tblHeader w:val="true"/>
        </w:trPr>
        <w:tc>
          <w:tcPr>
            <w:tcW w:w="5328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Record type</w:t>
            </w:r>
          </w:p>
        </w:tc>
        <w:tc>
          <w:tcPr>
            <w:tcW w:w="3123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Minimum retention</w:t>
            </w:r>
          </w:p>
        </w:tc>
        <w:tc>
          <w:tcPr>
            <w:tcW w:w="288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Disposition</w:t>
            </w:r>
          </w:p>
        </w:tc>
      </w:tr>
      <w:tr>
        <w:trPr/>
        <w:tc>
          <w:tcPr>
            <w:tcW w:w="532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QMS documents (policies, procedures, manual)</w:t>
            </w:r>
          </w:p>
        </w:tc>
        <w:tc>
          <w:tcPr>
            <w:tcW w:w="312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Life of the QMS + 3 years after supersession</w:t>
            </w:r>
          </w:p>
        </w:tc>
        <w:tc>
          <w:tcPr>
            <w:tcW w:w="288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Retained in Git history; no action needed</w:t>
            </w:r>
          </w:p>
        </w:tc>
      </w:tr>
      <w:tr>
        <w:trPr/>
        <w:tc>
          <w:tcPr>
            <w:tcW w:w="532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Management review minutes</w:t>
            </w:r>
          </w:p>
        </w:tc>
        <w:tc>
          <w:tcPr>
            <w:tcW w:w="312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 years</w:t>
            </w:r>
          </w:p>
        </w:tc>
        <w:tc>
          <w:tcPr>
            <w:tcW w:w="288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As above</w:t>
            </w:r>
          </w:p>
        </w:tc>
      </w:tr>
      <w:tr>
        <w:trPr/>
        <w:tc>
          <w:tcPr>
            <w:tcW w:w="532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Internal audit reports</w:t>
            </w:r>
          </w:p>
        </w:tc>
        <w:tc>
          <w:tcPr>
            <w:tcW w:w="312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 years</w:t>
            </w:r>
          </w:p>
        </w:tc>
        <w:tc>
          <w:tcPr>
            <w:tcW w:w="288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As above</w:t>
            </w:r>
          </w:p>
        </w:tc>
      </w:tr>
      <w:tr>
        <w:trPr/>
        <w:tc>
          <w:tcPr>
            <w:tcW w:w="532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Nonconformity / corrective action records</w:t>
            </w:r>
          </w:p>
        </w:tc>
        <w:tc>
          <w:tcPr>
            <w:tcW w:w="312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 years after closure</w:t>
            </w:r>
          </w:p>
        </w:tc>
        <w:tc>
          <w:tcPr>
            <w:tcW w:w="288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As above</w:t>
            </w:r>
          </w:p>
        </w:tc>
      </w:tr>
      <w:tr>
        <w:trPr/>
        <w:tc>
          <w:tcPr>
            <w:tcW w:w="532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Design and development records (design reviews, verification/validation results)</w:t>
            </w:r>
          </w:p>
        </w:tc>
        <w:tc>
          <w:tcPr>
            <w:tcW w:w="312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Life of the product release + 3 years</w:t>
            </w:r>
          </w:p>
        </w:tc>
        <w:tc>
          <w:tcPr>
            <w:tcW w:w="288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As above</w:t>
            </w:r>
          </w:p>
        </w:tc>
      </w:tr>
      <w:tr>
        <w:trPr/>
        <w:tc>
          <w:tcPr>
            <w:tcW w:w="532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Release records</w:t>
            </w:r>
          </w:p>
        </w:tc>
        <w:tc>
          <w:tcPr>
            <w:tcW w:w="312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Life of the release + 3 years</w:t>
            </w:r>
          </w:p>
        </w:tc>
        <w:tc>
          <w:tcPr>
            <w:tcW w:w="288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As above</w:t>
            </w:r>
          </w:p>
        </w:tc>
      </w:tr>
      <w:tr>
        <w:trPr/>
        <w:tc>
          <w:tcPr>
            <w:tcW w:w="532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 feedback and complaint records</w:t>
            </w:r>
          </w:p>
        </w:tc>
        <w:tc>
          <w:tcPr>
            <w:tcW w:w="312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 years</w:t>
            </w:r>
          </w:p>
        </w:tc>
        <w:tc>
          <w:tcPr>
            <w:tcW w:w="288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As above</w:t>
            </w:r>
          </w:p>
        </w:tc>
      </w:tr>
      <w:tr>
        <w:trPr/>
        <w:tc>
          <w:tcPr>
            <w:tcW w:w="532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Competence and training records</w:t>
            </w:r>
          </w:p>
        </w:tc>
        <w:tc>
          <w:tcPr>
            <w:tcW w:w="312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Duration of employment + 3 years</w:t>
            </w:r>
          </w:p>
        </w:tc>
        <w:tc>
          <w:tcPr>
            <w:tcW w:w="288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As above</w:t>
            </w:r>
          </w:p>
        </w:tc>
      </w:tr>
      <w:tr>
        <w:trPr/>
        <w:tc>
          <w:tcPr>
            <w:tcW w:w="5328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 data held in the deployed product</w:t>
            </w:r>
          </w:p>
        </w:tc>
        <w:tc>
          <w:tcPr>
            <w:tcW w:w="3123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Per the customer contract</w:t>
            </w:r>
          </w:p>
        </w:tc>
        <w:tc>
          <w:tcPr>
            <w:tcW w:w="288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Per </w:t>
            </w:r>
            <w:r>
              <w:rPr>
                <w:rStyle w:val="SourceText"/>
              </w:rPr>
              <w:t>SOP-11</w:t>
            </w:r>
            <w:r>
              <w:rPr/>
              <w:t xml:space="preserve">; </w:t>
            </w:r>
            <w:r>
              <w:rPr>
                <w:rStyle w:val="Strong"/>
              </w:rPr>
              <w:t>not</w:t>
            </w:r>
            <w:r>
              <w:rPr/>
              <w:t xml:space="preserve"> in Git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Because Git history is append-only in practice, deletion of a record requires an explicit, justified history rewrite authorised by top management — which is expected to occur only to remove information committed in error (for example a credential or personal data). Such an action is itself recorded as a nonconformity under </w:t>
      </w:r>
      <w:r>
        <w:rPr>
          <w:rStyle w:val="SourceText"/>
        </w:rPr>
        <w:t>SOP-14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>9. What must never be committed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641"/>
        <w:gridCol w:w="3446"/>
        <w:gridCol w:w="4252"/>
      </w:tblGrid>
      <w:tr>
        <w:trPr>
          <w:tblHeader w:val="true"/>
        </w:trPr>
        <w:tc>
          <w:tcPr>
            <w:tcW w:w="3641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Never commit</w:t>
            </w:r>
          </w:p>
        </w:tc>
        <w:tc>
          <w:tcPr>
            <w:tcW w:w="3446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Why</w:t>
            </w:r>
          </w:p>
        </w:tc>
        <w:tc>
          <w:tcPr>
            <w:tcW w:w="425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Control</w:t>
            </w:r>
          </w:p>
        </w:tc>
      </w:tr>
      <w:tr>
        <w:trPr/>
        <w:tc>
          <w:tcPr>
            <w:tcW w:w="364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Credentials, API tokens, private keys</w:t>
            </w:r>
          </w:p>
        </w:tc>
        <w:tc>
          <w:tcPr>
            <w:tcW w:w="344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Irreversible disclosure; history is replicated</w:t>
            </w:r>
          </w:p>
        </w:tc>
        <w:tc>
          <w:tcPr>
            <w:tcW w:w="425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.gitignore</w:t>
            </w:r>
            <w:r>
              <w:rPr/>
              <w:t xml:space="preserve"> excludes </w:t>
            </w:r>
            <w:r>
              <w:rPr>
                <w:rStyle w:val="SourceText"/>
              </w:rPr>
              <w:t>.env</w:t>
            </w:r>
            <w:r>
              <w:rPr/>
              <w:t xml:space="preserve">, </w:t>
            </w:r>
            <w:r>
              <w:rPr>
                <w:rStyle w:val="SourceText"/>
              </w:rPr>
              <w:t>.env.local</w:t>
            </w:r>
            <w:r>
              <w:rPr/>
              <w:t xml:space="preserve">, </w:t>
            </w:r>
            <w:r>
              <w:rPr>
                <w:rStyle w:val="SourceText"/>
              </w:rPr>
              <w:t>.env.*.bak</w:t>
            </w:r>
          </w:p>
        </w:tc>
      </w:tr>
      <w:tr>
        <w:trPr/>
        <w:tc>
          <w:tcPr>
            <w:tcW w:w="364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 documents, transcripts or audio</w:t>
            </w:r>
          </w:p>
        </w:tc>
        <w:tc>
          <w:tcPr>
            <w:tcW w:w="344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 property (8.5.3); not ours to replicate</w:t>
            </w:r>
          </w:p>
        </w:tc>
        <w:tc>
          <w:tcPr>
            <w:tcW w:w="425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Held only in the deployment's data volumes</w:t>
            </w:r>
          </w:p>
        </w:tc>
      </w:tr>
      <w:tr>
        <w:trPr/>
        <w:tc>
          <w:tcPr>
            <w:tcW w:w="364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Personal data of identifiable individuals</w:t>
            </w:r>
          </w:p>
        </w:tc>
        <w:tc>
          <w:tcPr>
            <w:tcW w:w="344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Data protection obligations</w:t>
            </w:r>
          </w:p>
        </w:tc>
        <w:tc>
          <w:tcPr>
            <w:tcW w:w="425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Review before commit</w:t>
            </w:r>
          </w:p>
        </w:tc>
      </w:tr>
      <w:tr>
        <w:trPr/>
        <w:tc>
          <w:tcPr>
            <w:tcW w:w="3641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Signed legal instruments personal to an individual</w:t>
            </w:r>
          </w:p>
        </w:tc>
        <w:tc>
          <w:tcPr>
            <w:tcW w:w="3446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organisational records</w:t>
            </w:r>
          </w:p>
        </w:tc>
        <w:tc>
          <w:tcPr>
            <w:tcW w:w="425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Kept outside version control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If any of the above is committed in error, raise a nonconformity under </w:t>
      </w:r>
      <w:r>
        <w:rPr>
          <w:rStyle w:val="SourceText"/>
        </w:rPr>
        <w:t>SOP-14</w:t>
      </w:r>
      <w:r>
        <w:rPr/>
        <w:t xml:space="preserve"> immediately; rotate the exposed credential before anything else.</w:t>
      </w:r>
    </w:p>
    <w:p>
      <w:pPr>
        <w:pStyle w:val="Heading2"/>
        <w:bidi w:val="0"/>
        <w:jc w:val="left"/>
        <w:rPr/>
      </w:pPr>
      <w:r>
        <w:rPr/>
        <w:t>10. Records generated by this procedure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303"/>
        <w:gridCol w:w="7035"/>
      </w:tblGrid>
      <w:tr>
        <w:trPr>
          <w:tblHeader w:val="true"/>
        </w:trPr>
        <w:tc>
          <w:tcPr>
            <w:tcW w:w="4303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Record</w:t>
            </w:r>
          </w:p>
        </w:tc>
        <w:tc>
          <w:tcPr>
            <w:tcW w:w="703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Location</w:t>
            </w:r>
          </w:p>
        </w:tc>
      </w:tr>
      <w:tr>
        <w:trPr/>
        <w:tc>
          <w:tcPr>
            <w:tcW w:w="430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Document control register</w:t>
            </w:r>
          </w:p>
        </w:tc>
        <w:tc>
          <w:tcPr>
            <w:tcW w:w="703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registers/REG-01_Document_Control_Register.md</w:t>
            </w:r>
          </w:p>
        </w:tc>
      </w:tr>
      <w:tr>
        <w:trPr/>
        <w:tc>
          <w:tcPr>
            <w:tcW w:w="430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External documents and providers register</w:t>
            </w:r>
          </w:p>
        </w:tc>
        <w:tc>
          <w:tcPr>
            <w:tcW w:w="703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registers/REG-02_External_Documents_and_Providers.md</w:t>
            </w:r>
          </w:p>
        </w:tc>
      </w:tr>
      <w:tr>
        <w:trPr/>
        <w:tc>
          <w:tcPr>
            <w:tcW w:w="4303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Revision history of every document</w:t>
            </w:r>
          </w:p>
        </w:tc>
        <w:tc>
          <w:tcPr>
            <w:tcW w:w="703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Git commit history (</w:t>
            </w:r>
            <w:r>
              <w:rPr>
                <w:rStyle w:val="SourceText"/>
              </w:rPr>
              <w:t>git log --follow -- &lt;path&gt;</w:t>
            </w:r>
            <w:r>
              <w:rPr/>
              <w:t>)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Consolas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" w:hAnsi="Calibri;Arial" w:eastAsia="Calibri;Arial" w:cs="Calibri;Arial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color w:val="1F3A5F"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" w:hAnsi="Consolas" w:eastAsia="Consolas" w:cs="Consolas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18"/>
      <w:szCs w:val="18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1F3A5F" w:val="clear"/>
      <w:jc w:val="center"/>
    </w:pPr>
    <w:rPr>
      <w:b/>
      <w:bCs/>
      <w:color w:val="FFFFFF"/>
      <w:sz w:val="18"/>
      <w:szCs w:val="18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