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Access-log review — period the public instance had no login (REG-04 NC-2026-009, action (d))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10"/>
        <w:gridCol w:w="2592"/>
      </w:tblGrid>
      <w:tr>
        <w:trPr>
          <w:tblHeader w:val="true"/>
        </w:trPr>
        <w:tc>
          <w:tcPr>
            <w:tcW w:w="101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259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10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Record</w:t>
            </w:r>
          </w:p>
        </w:tc>
        <w:tc>
          <w:tcPr>
            <w:tcW w:w="25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CAPA evidence for NC-2026-009, corrective action (d)</w:t>
            </w:r>
          </w:p>
        </w:tc>
      </w:tr>
      <w:tr>
        <w:trPr/>
        <w:tc>
          <w:tcPr>
            <w:tcW w:w="10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Performed</w:t>
            </w:r>
          </w:p>
        </w:tc>
        <w:tc>
          <w:tcPr>
            <w:tcW w:w="25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2026-10-07, from the </w:t>
            </w:r>
            <w:r>
              <w:rPr>
                <w:rStyle w:val="SourceText"/>
              </w:rPr>
              <w:t>activity_log</w:t>
            </w:r>
            <w:r>
              <w:rPr/>
              <w:t xml:space="preserve"> table (SQLite, </w:t>
            </w:r>
            <w:r>
              <w:rPr>
                <w:rStyle w:val="SourceText"/>
              </w:rPr>
              <w:t>echomind_data</w:t>
            </w:r>
            <w:r>
              <w:rPr/>
              <w:t xml:space="preserve"> volume)</w:t>
            </w:r>
          </w:p>
        </w:tc>
      </w:tr>
      <w:tr>
        <w:trPr/>
        <w:tc>
          <w:tcPr>
            <w:tcW w:w="10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259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 (Data custodian) — 2026-10-07</w:t>
            </w:r>
          </w:p>
        </w:tc>
      </w:tr>
      <w:tr>
        <w:trPr/>
        <w:tc>
          <w:tcPr>
            <w:tcW w:w="101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Source data</w:t>
            </w:r>
          </w:p>
        </w:tc>
        <w:tc>
          <w:tcPr>
            <w:tcW w:w="259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2,032 logged API calls, 2026-06-27 → 2026-10-07. The log records every POST/PUT/DELETE/PATCH under </w:t>
            </w:r>
            <w:r>
              <w:rPr>
                <w:rStyle w:val="SourceText"/>
              </w:rPr>
              <w:t>/api/</w:t>
            </w:r>
            <w:r>
              <w:rPr/>
              <w:t xml:space="preserve"> with time, user, path, status and source address. GET requests are not logged.</w:t>
            </w:r>
          </w:p>
        </w:tc>
      </w:tr>
    </w:tbl>
    <w:p>
      <w:pPr>
        <w:pStyle w:val="Heading2"/>
        <w:bidi w:val="0"/>
        <w:jc w:val="left"/>
        <w:rPr/>
      </w:pPr>
      <w:r>
        <w:rPr/>
        <w:t>1. How long the instance was ungated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89"/>
        <w:gridCol w:w="1413"/>
      </w:tblGrid>
      <w:tr>
        <w:trPr>
          <w:tblHeader w:val="true"/>
        </w:trPr>
        <w:tc>
          <w:tcPr>
            <w:tcW w:w="218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</w:t>
            </w:r>
          </w:p>
        </w:tc>
        <w:tc>
          <w:tcPr>
            <w:tcW w:w="141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Time (UTC)</w:t>
            </w:r>
          </w:p>
        </w:tc>
      </w:tr>
      <w:tr>
        <w:trPr/>
        <w:tc>
          <w:tcPr>
            <w:tcW w:w="218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Authenticated calls (login enforced, verification after commit </w:t>
            </w:r>
            <w:r>
              <w:rPr>
                <w:rStyle w:val="SourceText"/>
              </w:rPr>
              <w:t>9810e98</w:t>
            </w:r>
            <w:r>
              <w:rPr/>
              <w:t>)</w:t>
            </w:r>
          </w:p>
        </w:tc>
        <w:tc>
          <w:tcPr>
            <w:tcW w:w="14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2026-07-30 00:42 → 01:59 (109 calls; 401s up to 01:52)</w:t>
            </w:r>
          </w:p>
        </w:tc>
      </w:tr>
      <w:tr>
        <w:trPr/>
        <w:tc>
          <w:tcPr>
            <w:tcW w:w="218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First unauthenticated call that succeeded on a protected endpoint</w:t>
            </w:r>
          </w:p>
        </w:tc>
        <w:tc>
          <w:tcPr>
            <w:tcW w:w="141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2026-07-30 02:56</w:t>
            </w:r>
            <w:r>
              <w:rPr/>
              <w:t xml:space="preserve"> (</w:t>
            </w:r>
            <w:r>
              <w:rPr>
                <w:rStyle w:val="SourceText"/>
              </w:rPr>
              <w:t>POST /api/chat/ask</w:t>
            </w:r>
            <w:r>
              <w:rPr/>
              <w:t xml:space="preserve"> → 200)</w:t>
            </w:r>
          </w:p>
        </w:tc>
      </w:tr>
      <w:tr>
        <w:trPr/>
        <w:tc>
          <w:tcPr>
            <w:tcW w:w="218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Login restored (first authenticated call after the fix)</w:t>
            </w:r>
          </w:p>
        </w:tc>
        <w:tc>
          <w:tcPr>
            <w:tcW w:w="141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2026-10-06 20:03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Conclusion: application login was off from 2026-07-30 ~02:56 UTC to 2026-10-06 ~20:00 UTC — about 68 days — not only from 2026-09-28, when it was first noticed.</w:t>
      </w:r>
      <w:r>
        <w:rPr/>
        <w:t xml:space="preserve"> Cloudflare Access had been removed at the same time, so the public URL had no access control for that period. The setting was changed in </w:t>
      </w:r>
      <w:r>
        <w:rPr>
          <w:rStyle w:val="SourceText"/>
        </w:rPr>
        <w:t>.env</w:t>
      </w:r>
      <w:r>
        <w:rPr/>
        <w:t>, which is not under version control, so who changed it and why is not recorded.</w:t>
      </w:r>
    </w:p>
    <w:p>
      <w:pPr>
        <w:pStyle w:val="Heading2"/>
        <w:bidi w:val="0"/>
        <w:jc w:val="left"/>
        <w:rPr/>
      </w:pPr>
      <w:r>
        <w:rPr/>
        <w:t>2. Unknown parties reached the instance</w:t>
      </w:r>
    </w:p>
    <w:p>
      <w:pPr>
        <w:pStyle w:val="BodyText"/>
        <w:bidi w:val="0"/>
        <w:jc w:val="left"/>
        <w:rPr/>
      </w:pPr>
      <w:r>
        <w:rPr/>
        <w:t>64 requests to API paths that do not exist in EchoMind, between 2026-07-31 and 2026-09-22 — the signature of automated internet scanners: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02"/>
        <w:gridCol w:w="951"/>
        <w:gridCol w:w="649"/>
      </w:tblGrid>
      <w:tr>
        <w:trPr>
          <w:tblHeader w:val="true"/>
        </w:trPr>
        <w:tc>
          <w:tcPr>
            <w:tcW w:w="200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Probe</w:t>
            </w:r>
          </w:p>
        </w:tc>
        <w:tc>
          <w:tcPr>
            <w:tcW w:w="95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Requests</w:t>
            </w:r>
          </w:p>
        </w:tc>
        <w:tc>
          <w:tcPr>
            <w:tcW w:w="64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Dates</w:t>
            </w:r>
          </w:p>
        </w:tc>
      </w:tr>
      <w:tr>
        <w:trPr/>
        <w:tc>
          <w:tcPr>
            <w:tcW w:w="200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/api/graphql</w:t>
            </w:r>
            <w:r>
              <w:rPr/>
              <w:t xml:space="preserve">, </w:t>
            </w:r>
            <w:r>
              <w:rPr>
                <w:rStyle w:val="SourceText"/>
              </w:rPr>
              <w:t>/api/gql</w:t>
            </w:r>
            <w:r>
              <w:rPr/>
              <w:t xml:space="preserve"> (GraphQL discovery)</w:t>
            </w:r>
          </w:p>
        </w:tc>
        <w:tc>
          <w:tcPr>
            <w:tcW w:w="95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46</w:t>
            </w:r>
          </w:p>
        </w:tc>
        <w:tc>
          <w:tcPr>
            <w:tcW w:w="6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07-31, 08-10, 08-12, 08-13, 08-14, 09-11, 09-12, 09-15</w:t>
            </w:r>
          </w:p>
        </w:tc>
      </w:tr>
      <w:tr>
        <w:trPr/>
        <w:tc>
          <w:tcPr>
            <w:tcW w:w="200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/api/exec</w:t>
            </w:r>
            <w:r>
              <w:rPr/>
              <w:t xml:space="preserve">, </w:t>
            </w:r>
            <w:r>
              <w:rPr>
                <w:rStyle w:val="SourceText"/>
              </w:rPr>
              <w:t>/api/run</w:t>
            </w:r>
            <w:r>
              <w:rPr/>
              <w:t xml:space="preserve">, </w:t>
            </w:r>
            <w:r>
              <w:rPr>
                <w:rStyle w:val="SourceText"/>
              </w:rPr>
              <w:t>/api/system</w:t>
            </w:r>
            <w:r>
              <w:rPr/>
              <w:t xml:space="preserve">, </w:t>
            </w:r>
            <w:r>
              <w:rPr>
                <w:rStyle w:val="SourceText"/>
              </w:rPr>
              <w:t>/api/execute</w:t>
            </w:r>
            <w:r>
              <w:rPr/>
              <w:t xml:space="preserve"> (command-execution probes)</w:t>
            </w:r>
          </w:p>
        </w:tc>
        <w:tc>
          <w:tcPr>
            <w:tcW w:w="95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</w:t>
            </w:r>
          </w:p>
        </w:tc>
        <w:tc>
          <w:tcPr>
            <w:tcW w:w="6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08-03, 08-08, 08-13</w:t>
            </w:r>
          </w:p>
        </w:tc>
      </w:tr>
      <w:tr>
        <w:trPr/>
        <w:tc>
          <w:tcPr>
            <w:tcW w:w="200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/api/vendor/phpunit/.../eval-stdin.php</w:t>
            </w:r>
            <w:r>
              <w:rPr/>
              <w:t xml:space="preserve"> (known PHP remote-code-execution probe)</w:t>
            </w:r>
          </w:p>
        </w:tc>
        <w:tc>
          <w:tcPr>
            <w:tcW w:w="95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64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09-15</w:t>
            </w:r>
          </w:p>
        </w:tc>
      </w:tr>
      <w:tr>
        <w:trPr/>
        <w:tc>
          <w:tcPr>
            <w:tcW w:w="200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/api/v1/chat/completions</w:t>
            </w:r>
            <w:r>
              <w:rPr/>
              <w:t xml:space="preserve">, </w:t>
            </w:r>
            <w:r>
              <w:rPr>
                <w:rStyle w:val="SourceText"/>
              </w:rPr>
              <w:t>/api/v1/completions</w:t>
            </w:r>
            <w:r>
              <w:rPr/>
              <w:t xml:space="preserve"> (looking for an open LLM API)</w:t>
            </w:r>
          </w:p>
        </w:tc>
        <w:tc>
          <w:tcPr>
            <w:tcW w:w="95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64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09-22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All were answered </w:t>
      </w:r>
      <w:r>
        <w:rPr>
          <w:rStyle w:val="Strong"/>
        </w:rPr>
        <w:t>404</w:t>
      </w:r>
      <w:r>
        <w:rPr/>
        <w:t xml:space="preserve"> — none of these endpoints exists. Scanners that tried real endpoints would not stand out, because unauthenticated calls to real endpoints were legitimate during this period.</w:t>
      </w:r>
    </w:p>
    <w:p>
      <w:pPr>
        <w:pStyle w:val="Heading2"/>
        <w:bidi w:val="0"/>
        <w:jc w:val="left"/>
        <w:rPr/>
      </w:pPr>
      <w:r>
        <w:rPr/>
        <w:t>3. Data-changing actions in the period</w:t>
      </w:r>
    </w:p>
    <w:tbl>
      <w:tblPr>
        <w:tblW w:w="3602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95"/>
        <w:gridCol w:w="1221"/>
        <w:gridCol w:w="1686"/>
      </w:tblGrid>
      <w:tr>
        <w:trPr>
          <w:tblHeader w:val="true"/>
        </w:trPr>
        <w:tc>
          <w:tcPr>
            <w:tcW w:w="69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 (UTC)</w:t>
            </w:r>
          </w:p>
        </w:tc>
        <w:tc>
          <w:tcPr>
            <w:tcW w:w="122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Actions</w:t>
            </w:r>
          </w:p>
        </w:tc>
        <w:tc>
          <w:tcPr>
            <w:tcW w:w="168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Correlation</w:t>
            </w:r>
          </w:p>
        </w:tc>
      </w:tr>
      <w:tr>
        <w:trPr/>
        <w:tc>
          <w:tcPr>
            <w:tcW w:w="6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2026-07-30 15:07</w:t>
            </w:r>
          </w:p>
        </w:tc>
        <w:tc>
          <w:tcPr>
            <w:tcW w:w="12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document deleted</w:t>
            </w:r>
          </w:p>
        </w:tc>
        <w:tc>
          <w:tcPr>
            <w:tcW w:w="168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Engineering day (commits </w:t>
            </w:r>
            <w:r>
              <w:rPr>
                <w:rStyle w:val="SourceText"/>
              </w:rPr>
              <w:t>2decb99</w:t>
            </w:r>
            <w:r>
              <w:rPr/>
              <w:t>…</w:t>
            </w:r>
            <w:r>
              <w:rPr>
                <w:rStyle w:val="SourceText"/>
              </w:rPr>
              <w:t>7b04eb9</w:t>
            </w:r>
            <w:r>
              <w:rPr/>
              <w:t>)</w:t>
            </w:r>
          </w:p>
        </w:tc>
      </w:tr>
      <w:tr>
        <w:trPr/>
        <w:tc>
          <w:tcPr>
            <w:tcW w:w="6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2026-08-07 14:47–18:56</w:t>
            </w:r>
          </w:p>
        </w:tc>
        <w:tc>
          <w:tcPr>
            <w:tcW w:w="12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delete-all</w:t>
            </w:r>
            <w:r>
              <w:rPr/>
              <w:t xml:space="preserve"> once, then 33 uploads within the hour</w:t>
            </w:r>
          </w:p>
        </w:tc>
        <w:tc>
          <w:tcPr>
            <w:tcW w:w="168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Same day as the paper-evaluation commits (</w:t>
            </w:r>
            <w:r>
              <w:rPr>
                <w:rStyle w:val="SourceText"/>
              </w:rPr>
              <w:t>cbc57d1</w:t>
            </w:r>
            <w:r>
              <w:rPr/>
              <w:t xml:space="preserve">, </w:t>
            </w:r>
            <w:r>
              <w:rPr>
                <w:rStyle w:val="SourceText"/>
              </w:rPr>
              <w:t>4e27109</w:t>
            </w:r>
            <w:r>
              <w:rPr/>
              <w:t>) — consistent with a deliberate re-ingest</w:t>
            </w:r>
          </w:p>
        </w:tc>
      </w:tr>
      <w:tr>
        <w:trPr/>
        <w:tc>
          <w:tcPr>
            <w:tcW w:w="6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2026-08-16 02:24–06:20</w:t>
            </w:r>
          </w:p>
        </w:tc>
        <w:tc>
          <w:tcPr>
            <w:tcW w:w="12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69 deletions, 78 uploads</w:t>
            </w:r>
          </w:p>
        </w:tc>
        <w:tc>
          <w:tcPr>
            <w:tcW w:w="168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Starts ~1 h after commit </w:t>
            </w:r>
            <w:r>
              <w:rPr>
                <w:rStyle w:val="SourceText"/>
              </w:rPr>
              <w:t>7e582e1</w:t>
            </w:r>
            <w:r>
              <w:rPr/>
              <w:t xml:space="preserve"> "overhaul ingestion" — the documented re-ingest</w:t>
            </w:r>
          </w:p>
        </w:tc>
      </w:tr>
      <w:tr>
        <w:trPr/>
        <w:tc>
          <w:tcPr>
            <w:tcW w:w="69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2026-09-15 03:31–05:47</w:t>
            </w:r>
          </w:p>
        </w:tc>
        <w:tc>
          <w:tcPr>
            <w:tcW w:w="122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46 deletions, 5 uploads (the Meridian Bank demo set)</w:t>
            </w:r>
          </w:p>
        </w:tc>
        <w:tc>
          <w:tcPr>
            <w:tcW w:w="168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Starts minutes after commit </w:t>
            </w:r>
            <w:r>
              <w:rPr>
                <w:rStyle w:val="SourceText"/>
              </w:rPr>
              <w:t>15f3c96</w:t>
            </w:r>
            <w:r>
              <w:rPr/>
              <w:t xml:space="preserve"> (03:27). </w:t>
            </w:r>
            <w:r>
              <w:rPr>
                <w:rStyle w:val="Strong"/>
              </w:rPr>
              <w:t>This is when the golden-evaluation corpus left the knowledge base — the probable cause of NC-2026-008.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Every data-changing action falls in a window of recorded engineering work. </w:t>
      </w:r>
      <w:r>
        <w:rPr>
          <w:rStyle w:val="Strong"/>
        </w:rPr>
        <w:t>None can be attributed with certainty</w:t>
      </w:r>
      <w:r>
        <w:rPr/>
        <w:t>: the source address is always an internal proxy (Cloudflare Tunnel → nginx → backend), so internal and external callers look the same.</w:t>
      </w:r>
    </w:p>
    <w:p>
      <w:pPr>
        <w:pStyle w:val="Heading2"/>
        <w:bidi w:val="0"/>
        <w:jc w:val="left"/>
        <w:rPr/>
      </w:pPr>
      <w:r>
        <w:rPr/>
        <w:t>4. Limitations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Client IP addresses were not recorded — only the proxy's internal address.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GET requests (reads, including document downloads) are not in the activity log, so reads by unknown parties cannot be ruled out. Treat all demonstration content as potentially read.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Container logs from before 2026-10-06 20:03 UTC (nginx, cloudflared, backend) were lost when the containers were recreated; they are not shipped anywhere. </w:t>
      </w:r>
    </w:p>
    <w:p>
      <w:pPr>
        <w:pStyle w:val="Heading2"/>
        <w:bidi w:val="0"/>
        <w:jc w:val="left"/>
        <w:rPr/>
      </w:pPr>
      <w:r>
        <w:rPr/>
        <w:t>5. Outcome and follow-up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No evidence of malicious data change; all changes align with engineering activity. </w:t>
      </w:r>
      <w:r>
        <w:rPr>
          <w:rStyle w:val="Strong"/>
        </w:rPr>
        <w:t>To be confirmed by the person who performed the 2026-08-07, 08-16 and 09-15 operations.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knowledge base held demonstration material only (no customer deployment).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>Recommended actions (owner to decide): record the real client address (</w:t>
      </w:r>
      <w:r>
        <w:rPr>
          <w:rStyle w:val="SourceText"/>
        </w:rPr>
        <w:t>CF-Connecting-IP</w:t>
      </w:r>
      <w:r>
        <w:rPr/>
        <w:t xml:space="preserve">) in the activity log; retain proxy logs off the container; check Cloudflare's own analytics for the period; log reads of document downloads.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