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Requirement Change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 Change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§6; SOP-06; form FRM-02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Every change to the agreed requirements: what changed, why, who asked, the review that decided it, how it was implemented and verified.</w:t>
      </w:r>
    </w:p>
    <w:p>
      <w:pPr>
        <w:pStyle w:val="Heading1"/>
      </w:pPr>
      <w:r>
        <w:t xml:space="preserve">2. Change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1212"/>
        <w:gridCol w:w="3543"/>
        <w:gridCol w:w="1491"/>
        <w:gridCol w:w="1025"/>
        <w:gridCol w:w="2237"/>
        <w:gridCol w:w="1588"/>
      </w:tblGrid>
      <w:tr>
        <w:trPr>
          <w:tblHeader/>
        </w:trP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Decided in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Implemented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RC-2025-01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FR-2025-01…04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fixed in the signed SOW (offline on-premises system, BYOA pilot)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customer; AJACE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DR-2025-09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signed 2025-08-05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test on delivery (2025-09)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RC-2026-01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2026-01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changed from a single RTX 4090 PC to a DGX Spark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4b90b36, c751d79 (2026-02-05)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RC-2026-02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must be natural and fast — Unmute stack replaced by PersonaPlex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 A and B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Trial (QASC 2026 paper)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review CR-2026-04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RC-2026-03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must use the customer's large knowledge base — own dual-loop architecture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 A and B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ddc0aa3, d89aeda (2026-04-08)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E4/E7 (2026-08-07)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RC-2026-04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retrieval: BookRAG and PageIndex tried; section-based retrieval kept; BookRAG switched off as it measured worse (43/52 vs 50/52)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18715c7 (2026-03-05); 2decb99 (2026-07-30)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RC-2026-05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Transcript accuracy and speed: Whisper → Nemotron; Parakeet final with fallback; chat Ollama → TensorRT-LLM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CR-2026-06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d89aeda (04-08); b6a70d8 (06-26); 80375c6 (07-29)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test; acceptance run 4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RC-2026-06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FR-SA-01…03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listen-only mode that never replies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ec9b180 (05-11); f75121b (06-27); 7f2658a (08-16)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RC-2026-07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FR-DS-01…04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document studio with and without templates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 (06-20); 66356f9 (06-27)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(run 4)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How a change is handled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request is raised in a client or design review and recorded in EM26-19.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on scope, schedule and other requirements is assessed; significant changes use FRM-02 and REG-07 (SOP-06 §6).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requirement registers (EM26-20, EM26-21) are updated; the change is delivered in the next version and verified by its test.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 Change Record — EchoMind (Project 2)</dc:title>
  <dc:creator>Ajace Inc. — EchoMind QMS</dc:creator>
  <cp:lastModifiedBy>Un-named</cp:lastModifiedBy>
  <cp:revision>1</cp:revision>
  <dcterms:created xsi:type="dcterms:W3CDTF">2026-10-14T04:01:20.696Z</dcterms:created>
  <dcterms:modified xsi:type="dcterms:W3CDTF">2026-10-14T04:01:20.696Z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