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Design and development planning (8.3.2)</w:t>
      </w:r>
    </w:p>
    <w:p>
      <w:pPr>
        <w:spacing w:after="100"/>
      </w:pPr>
      <w:r>
        <w:t xml:space="preserve">Development runs in increments of about two months, each ending with a version and a review (EM26-23 §3). Responsibilities: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Functional requirements (39)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§3; EM26-20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Non-functional requirements (31)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§4; EM26-21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requirements and feedback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CR-2026-02 … 09 (EM26-19)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Statutory and data protection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Fully offline operation; tenant isolation; export redaction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from 2025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log CR-2025-01 … 04; EM26-16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Compose services on the DGX Spark: TensorRT-LLM (chat), backend, voice, front end, Ollama (embeddings), tunnel for the reference site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Hybrid retrieval (dense + BM25), section and table-of-contents routing, re-ranking, cited answers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architecture: a fast interaction loop and a separate retrieval loop; Nemotron streaming STT, Parakeet final STT, Piper TTS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transcript; the Silent Assistant checks each sentence against the documents and shows quoted proof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meeting → diarised transcript → report (PDF/PPTX)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Plan → write → illustrate (on-device SDXL-Turbo) → PDF/PPTX, with or without a template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 and roles, tenant isolation, prompt-injection fencing, export redaction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3500"/>
        <w:gridCol w:w="32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 question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 after PersonaPlex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Reaching a deployed unit without a network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with diarisation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 (40 findings)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Design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it; feedback recorded as a client review (CR-2026-03, 04, 06, 07, 09).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code and version tags v1.0.0 → v1.4.1 (github.com/RW2523/echomind-enterprise).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 and release records (FRM-03).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the dual-loop design and its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Design changes follow the requirement changes in EM26-30 and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Design inputs: offline RAG system. Design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2026-10-14T04:01:20.707Z</dcterms:created>
  <dcterms:modified xsi:type="dcterms:W3CDTF">2026-10-14T04:01:20.707Z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