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Quality Policy</w:t>
      </w:r>
    </w:p>
    <w:tbl>
      <w:tblPr>
        <w:tblW w:w="2336" w:type="dxa"/>
        <w:jc w:val="left"/>
        <w:tblInd w:w="-7" w:type="dxa"/>
        <w:tblLayout w:type="fixed"/>
        <w:tblCellMar>
          <w:top w:w="60" w:type="dxa"/>
          <w:left w:w="60" w:type="dxa"/>
          <w:bottom w:w="60" w:type="dxa"/>
          <w:right w:w="60" w:type="dxa"/>
        </w:tblCellMar>
      </w:tblPr>
      <w:tblGrid>
        <w:gridCol w:w="995"/>
        <w:gridCol w:w="1341"/>
      </w:tblGrid>
      <w:tr>
        <w:trPr>
          <w:tblHeader w:val="true"/>
        </w:trPr>
        <w:tc>
          <w:tcPr>
            <w:tcW w:w="99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134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13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QP-01</w:t>
            </w:r>
          </w:p>
        </w:tc>
      </w:tr>
      <w:tr>
        <w:trPr/>
        <w:tc>
          <w:tcPr>
            <w:tcW w:w="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13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r>
      <w:tr>
        <w:trPr/>
        <w:tc>
          <w:tcPr>
            <w:tcW w:w="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13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APPROVED</w:t>
            </w:r>
          </w:p>
        </w:tc>
      </w:tr>
      <w:tr>
        <w:trPr/>
        <w:tc>
          <w:tcPr>
            <w:tcW w:w="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13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 (Anita Johan)</w:t>
            </w:r>
          </w:p>
        </w:tc>
      </w:tr>
      <w:tr>
        <w:trPr/>
        <w:tc>
          <w:tcPr>
            <w:tcW w:w="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13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Approval date</w:t>
            </w:r>
          </w:p>
        </w:tc>
        <w:tc>
          <w:tcPr>
            <w:tcW w:w="13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Next review</w:t>
            </w:r>
          </w:p>
        </w:tc>
        <w:tc>
          <w:tcPr>
            <w:tcW w:w="13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Annually, and on any significant change to the organisation or its services</w:t>
            </w:r>
          </w:p>
        </w:tc>
      </w:tr>
      <w:tr>
        <w:trPr/>
        <w:tc>
          <w:tcPr>
            <w:tcW w:w="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13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5.2.1, 5.2.2</w:t>
            </w:r>
          </w:p>
        </w:tc>
      </w:tr>
      <w:tr>
        <w:trPr/>
        <w:tc>
          <w:tcPr>
            <w:tcW w:w="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13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2026-10-07</w:t>
            </w:r>
          </w:p>
        </w:tc>
      </w:tr>
      <w:tr>
        <w:trPr/>
        <w:tc>
          <w:tcPr>
            <w:tcW w:w="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13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 — 2026-10-07</w:t>
            </w:r>
          </w:p>
        </w:tc>
      </w:tr>
      <w:tr>
        <w:trPr/>
        <w:tc>
          <w:tcPr>
            <w:tcW w:w="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13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MR) — 2026-10-07</w:t>
            </w:r>
          </w:p>
        </w:tc>
      </w:tr>
      <w:tr>
        <w:trPr/>
        <w:tc>
          <w:tcPr>
            <w:tcW w:w="99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Approval record</w:t>
            </w:r>
          </w:p>
        </w:tc>
        <w:tc>
          <w:tcPr>
            <w:tcW w:w="134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records/approvals/2026-10-07_AR-2026-001_document_approval.md</w:t>
            </w:r>
          </w:p>
        </w:tc>
      </w:tr>
    </w:tbl>
    <w:p>
      <w:pPr>
        <w:pStyle w:val="BlockQuotation"/>
        <w:bidi w:val="0"/>
        <w:jc w:val="left"/>
        <w:rPr/>
      </w:pPr>
      <w:r>
        <w:rPr>
          <w:rStyle w:val="Strong"/>
        </w:rPr>
        <w:t>Adoption note.</w:t>
      </w:r>
      <w:r>
        <w:rPr/>
        <w:t xml:space="preserve"> This policy is a proposed text. It carries no authority until a member of top management signs and dates it. Do not present it to a customer or auditor as an approved policy before that has happened. See </w:t>
      </w:r>
      <w:r>
        <w:rPr>
          <w:rStyle w:val="SourceText"/>
        </w:rPr>
        <w:t>ADOPTION_GUIDE.md</w:t>
      </w:r>
      <w:r>
        <w:rPr/>
        <w:t>.</w:t>
      </w:r>
    </w:p>
    <w:p>
      <w:pPr>
        <w:pStyle w:val="HorizontalLine"/>
        <w:bidi w:val="0"/>
        <w:jc w:val="left"/>
        <w:rPr/>
      </w:pPr>
      <w:r>
        <w:rPr/>
      </w:r>
    </w:p>
    <w:p>
      <w:pPr>
        <w:pStyle w:val="Heading2"/>
        <w:bidi w:val="0"/>
        <w:jc w:val="left"/>
        <w:rPr/>
      </w:pPr>
      <w:r>
        <w:rPr/>
        <w:t>1. Purpose</w:t>
      </w:r>
    </w:p>
    <w:p>
      <w:pPr>
        <w:pStyle w:val="BodyText"/>
        <w:bidi w:val="0"/>
        <w:jc w:val="left"/>
        <w:rPr/>
      </w:pPr>
      <w:r>
        <w:rPr/>
        <w:t xml:space="preserve">This policy states the commitments of </w:t>
      </w:r>
      <w:r>
        <w:rPr>
          <w:rStyle w:val="Strong"/>
        </w:rPr>
        <w:t>Ajace AI</w:t>
      </w:r>
      <w:r>
        <w:rPr/>
        <w:t xml:space="preserve"> in relation to the quality of the </w:t>
      </w:r>
      <w:r>
        <w:rPr>
          <w:rStyle w:val="Strong"/>
        </w:rPr>
        <w:t>EchoMind Enterprise</w:t>
      </w:r>
      <w:r>
        <w:rPr/>
        <w:t xml:space="preserve"> platform — the private, on-premises AI workspace we design, build, deploy and support — and of the customisation and advisory services we deliver around it.</w:t>
      </w:r>
    </w:p>
    <w:p>
      <w:pPr>
        <w:pStyle w:val="Heading2"/>
        <w:bidi w:val="0"/>
        <w:jc w:val="left"/>
        <w:rPr/>
      </w:pPr>
      <w:r>
        <w:rPr/>
        <w:t>2. Our quality commitments</w:t>
      </w:r>
    </w:p>
    <w:p>
      <w:pPr>
        <w:pStyle w:val="BodyText"/>
        <w:bidi w:val="0"/>
        <w:jc w:val="left"/>
        <w:rPr/>
      </w:pPr>
      <w:r>
        <w:rPr/>
        <w:t xml:space="preserve">Ajace AI is in the business of running artificial intelligence </w:t>
      </w:r>
      <w:r>
        <w:rPr>
          <w:rStyle w:val="Strong"/>
        </w:rPr>
        <w:t>inside the customer's own perimeter</w:t>
      </w:r>
      <w:r>
        <w:rPr/>
        <w:t>. Our customers come to us precisely because their data cannot leave it: defence, government, legal, financial, and healthcare organisations. That fact sets our definition of quality. We therefore commit to the following.</w:t>
      </w:r>
    </w:p>
    <w:p>
      <w:pPr>
        <w:pStyle w:val="BodyText"/>
        <w:bidi w:val="0"/>
        <w:jc w:val="left"/>
        <w:rPr/>
      </w:pPr>
      <w:r>
        <w:rPr>
          <w:rStyle w:val="Strong"/>
        </w:rPr>
        <w:t>2.1 We tell the truth about what the software knows.</w:t>
      </w:r>
      <w:r>
        <w:rPr/>
        <w:t xml:space="preserve"> An answer grounded in the customer's own material is the product; a confident answer that is not grounded is a defect, not a feature. Our systems are built to say "I could not find that" rather than to fill a gap, and to attribute what they do assert. We treat a fabricated fact, a fabricated citation, or an invented figure as a quality failure of the highest severity.</w:t>
      </w:r>
    </w:p>
    <w:p>
      <w:pPr>
        <w:pStyle w:val="BodyText"/>
        <w:bidi w:val="0"/>
        <w:jc w:val="left"/>
        <w:rPr/>
      </w:pPr>
      <w:r>
        <w:rPr>
          <w:rStyle w:val="Strong"/>
        </w:rPr>
        <w:t>2.2 We keep the customer's data where the customer put it.</w:t>
      </w:r>
      <w:r>
        <w:rPr/>
        <w:t xml:space="preserve"> The platform is designed to run fully offline, on hardware the customer controls, with open-weight models served locally. Customer documents, transcripts and audio are customer property (ISO 9001:2015, 8.5.3). We protect them, we keep tenants isolated, and we do not send them to third-party services.</w:t>
      </w:r>
    </w:p>
    <w:p>
      <w:pPr>
        <w:pStyle w:val="BodyText"/>
        <w:bidi w:val="0"/>
        <w:jc w:val="left"/>
        <w:rPr/>
      </w:pPr>
      <w:r>
        <w:rPr>
          <w:rStyle w:val="Strong"/>
        </w:rPr>
        <w:t>2.3 We state capability honestly, including its limits.</w:t>
      </w:r>
      <w:r>
        <w:rPr/>
        <w:t xml:space="preserve"> Benchmarks, evaluation figures and product claims must be reproducible from recorded evidence. Where an experiment has not been run, we report it as not run — we do not estimate, extrapolate or present a plausible-looking number. This applies equally to marketing material, published papers and customer proposals.</w:t>
      </w:r>
    </w:p>
    <w:p>
      <w:pPr>
        <w:pStyle w:val="BodyText"/>
        <w:bidi w:val="0"/>
        <w:jc w:val="left"/>
        <w:rPr/>
      </w:pPr>
      <w:r>
        <w:rPr>
          <w:rStyle w:val="Strong"/>
        </w:rPr>
        <w:t>2.4 We meet applicable requirements.</w:t>
      </w:r>
      <w:r>
        <w:rPr/>
        <w:t xml:space="preserve"> We identify and satisfy the customer, statutory and regulatory requirements that apply to each engagement, including the sector-specific obligations our customers are themselves subject to.</w:t>
      </w:r>
    </w:p>
    <w:p>
      <w:pPr>
        <w:pStyle w:val="BodyText"/>
        <w:bidi w:val="0"/>
        <w:jc w:val="left"/>
        <w:rPr/>
      </w:pPr>
      <w:r>
        <w:rPr>
          <w:rStyle w:val="Strong"/>
        </w:rPr>
        <w:t>2.5 We fix causes, not just symptoms.</w:t>
      </w:r>
      <w:r>
        <w:rPr/>
        <w:t xml:space="preserve"> Defects found in development, in evaluation or in production are recorded, corrected, and — where they matter — traced to the cause so that the class of defect is removed.</w:t>
      </w:r>
    </w:p>
    <w:p>
      <w:pPr>
        <w:pStyle w:val="BodyText"/>
        <w:bidi w:val="0"/>
        <w:jc w:val="left"/>
        <w:rPr/>
      </w:pPr>
      <w:r>
        <w:rPr>
          <w:rStyle w:val="Strong"/>
        </w:rPr>
        <w:t>2.6 We improve the management system continually.</w:t>
      </w:r>
      <w:r>
        <w:rPr/>
        <w:t xml:space="preserve"> We set measurable quality objectives, review them, and act on what the measurements show (ISO 9001:2015, 10.3).</w:t>
      </w:r>
    </w:p>
    <w:p>
      <w:pPr>
        <w:pStyle w:val="Heading2"/>
        <w:bidi w:val="0"/>
        <w:jc w:val="left"/>
        <w:rPr/>
      </w:pPr>
      <w:r>
        <w:rPr/>
        <w:t>3. Framework for quality objectives</w:t>
      </w:r>
    </w:p>
    <w:p>
      <w:pPr>
        <w:pStyle w:val="BodyText"/>
        <w:bidi w:val="0"/>
        <w:jc w:val="left"/>
        <w:rPr/>
      </w:pPr>
      <w:r>
        <w:rPr/>
        <w:t xml:space="preserve">This policy provides the framework within which quality objectives are set and reviewed. Current objectives, their measures and their targets are maintained in </w:t>
      </w:r>
      <w:r>
        <w:rPr>
          <w:rStyle w:val="Strong"/>
        </w:rPr>
        <w:t>QO-01 Quality Objectives</w:t>
      </w:r>
      <w:r>
        <w:rPr/>
        <w:t>.</w:t>
      </w:r>
    </w:p>
    <w:p>
      <w:pPr>
        <w:pStyle w:val="Heading2"/>
        <w:bidi w:val="0"/>
        <w:jc w:val="left"/>
        <w:rPr/>
      </w:pPr>
      <w:r>
        <w:rPr/>
        <w:t>4. Communication and availability</w:t>
      </w:r>
    </w:p>
    <w:p>
      <w:pPr>
        <w:pStyle w:val="BodyText"/>
        <w:bidi w:val="0"/>
        <w:jc w:val="left"/>
        <w:rPr/>
      </w:pPr>
      <w:r>
        <w:rPr/>
        <w:t>This policy is:</w:t>
      </w:r>
    </w:p>
    <w:p>
      <w:pPr>
        <w:pStyle w:val="BodyText"/>
        <w:numPr>
          <w:ilvl w:val="0"/>
          <w:numId w:val="1"/>
        </w:numPr>
        <w:tabs>
          <w:tab w:val="clear" w:pos="1134"/>
          <w:tab w:val="left" w:pos="709" w:leader="none"/>
        </w:tabs>
        <w:bidi w:val="0"/>
        <w:spacing w:before="0" w:after="0"/>
        <w:ind w:hanging="283" w:left="709"/>
        <w:jc w:val="left"/>
        <w:rPr/>
      </w:pPr>
      <w:r>
        <w:rPr/>
        <w:t xml:space="preserve">maintained as documented information inside the product repository, so that it is versioned and auditable alongside the software it governs; </w:t>
      </w:r>
    </w:p>
    <w:p>
      <w:pPr>
        <w:pStyle w:val="BodyText"/>
        <w:numPr>
          <w:ilvl w:val="0"/>
          <w:numId w:val="1"/>
        </w:numPr>
        <w:tabs>
          <w:tab w:val="clear" w:pos="1134"/>
          <w:tab w:val="left" w:pos="709" w:leader="none"/>
        </w:tabs>
        <w:bidi w:val="0"/>
        <w:spacing w:before="0" w:after="0"/>
        <w:ind w:hanging="283" w:left="709"/>
        <w:jc w:val="left"/>
        <w:rPr/>
      </w:pPr>
      <w:r>
        <w:rPr/>
        <w:t xml:space="preserve">communicated to everyone working under Ajace AI's control, at induction and on each revision; </w:t>
      </w:r>
    </w:p>
    <w:p>
      <w:pPr>
        <w:pStyle w:val="BodyText"/>
        <w:numPr>
          <w:ilvl w:val="0"/>
          <w:numId w:val="1"/>
        </w:numPr>
        <w:tabs>
          <w:tab w:val="clear" w:pos="1134"/>
          <w:tab w:val="left" w:pos="709" w:leader="none"/>
        </w:tabs>
        <w:bidi w:val="0"/>
        <w:ind w:hanging="283" w:left="709"/>
        <w:jc w:val="left"/>
        <w:rPr/>
      </w:pPr>
      <w:r>
        <w:rPr/>
        <w:t xml:space="preserve">available to interested parties on request. </w:t>
      </w:r>
    </w:p>
    <w:p>
      <w:pPr>
        <w:pStyle w:val="Heading2"/>
        <w:bidi w:val="0"/>
        <w:jc w:val="left"/>
        <w:rPr/>
      </w:pPr>
      <w:r>
        <w:rPr/>
        <w:t>5. Responsibility</w:t>
      </w:r>
    </w:p>
    <w:p>
      <w:pPr>
        <w:pStyle w:val="BodyText"/>
        <w:bidi w:val="0"/>
        <w:jc w:val="left"/>
        <w:rPr/>
      </w:pPr>
      <w:r>
        <w:rPr/>
        <w:t>Top management is accountable for the effectiveness of the quality management system and for this policy. Every person working under Ajace AI's control is responsible for applying it in their own work and for reporting anything that conflicts with it.</w:t>
      </w:r>
    </w:p>
    <w:p>
      <w:pPr>
        <w:pStyle w:val="HorizontalLine"/>
        <w:bidi w:val="0"/>
        <w:jc w:val="left"/>
        <w:rPr/>
      </w:pPr>
      <w:r>
        <w:rPr/>
      </w:r>
    </w:p>
    <w:p>
      <w:pPr>
        <w:pStyle w:val="BodyText"/>
        <w:bidi w:val="0"/>
        <w:jc w:val="left"/>
        <w:rPr/>
      </w:pPr>
      <w:r>
        <w:rPr>
          <w:rStyle w:val="Strong"/>
        </w:rPr>
        <w:t>Signed:</w:t>
      </w:r>
    </w:p>
    <w:tbl>
      <w:tblPr>
        <w:tblW w:w="5000" w:type="pct"/>
        <w:jc w:val="left"/>
        <w:tblInd w:w="-7" w:type="dxa"/>
        <w:tblLayout w:type="fixed"/>
        <w:tblCellMar>
          <w:top w:w="60" w:type="dxa"/>
          <w:left w:w="60" w:type="dxa"/>
          <w:bottom w:w="60" w:type="dxa"/>
          <w:right w:w="60" w:type="dxa"/>
        </w:tblCellMar>
      </w:tblPr>
      <w:tblGrid>
        <w:gridCol w:w="919"/>
        <w:gridCol w:w="1417"/>
      </w:tblGrid>
      <w:tr>
        <w:trPr>
          <w:tblHeader w:val="true"/>
        </w:trPr>
        <w:tc>
          <w:tcPr>
            <w:tcW w:w="91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141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9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Name</w:t>
            </w:r>
          </w:p>
        </w:tc>
        <w:tc>
          <w:tcPr>
            <w:tcW w:w="141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w:t>
            </w:r>
          </w:p>
        </w:tc>
      </w:tr>
      <w:tr>
        <w:trPr/>
        <w:tc>
          <w:tcPr>
            <w:tcW w:w="9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Role</w:t>
            </w:r>
          </w:p>
        </w:tc>
        <w:tc>
          <w:tcPr>
            <w:tcW w:w="141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 AJACE Inc.</w:t>
            </w:r>
          </w:p>
        </w:tc>
      </w:tr>
      <w:tr>
        <w:trPr/>
        <w:tc>
          <w:tcPr>
            <w:tcW w:w="9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Signature</w:t>
            </w:r>
          </w:p>
        </w:tc>
        <w:tc>
          <w:tcPr>
            <w:tcW w:w="141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Approved — </w:t>
            </w:r>
            <w:r>
              <w:rPr>
                <w:rStyle w:val="SourceText"/>
              </w:rPr>
              <w:t>records/approvals/2026-10-07_AR-2026-001_document_approval.md</w:t>
            </w:r>
          </w:p>
        </w:tc>
      </w:tr>
      <w:tr>
        <w:trPr/>
        <w:tc>
          <w:tcPr>
            <w:tcW w:w="91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Date</w:t>
            </w:r>
          </w:p>
        </w:tc>
        <w:tc>
          <w:tcPr>
            <w:tcW w:w="141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2026-10-07</w:t>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