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jc w:val="left"/>
        <w:rPr/>
      </w:pPr>
      <w:r>
        <w:rPr/>
        <w:t>REG-06 — Customer Feedback and Complaints Log</w:t>
      </w:r>
    </w:p>
    <w:tbl>
      <w:tblPr>
        <w:tblW w:w="5000" w:type="pct"/>
        <w:jc w:val="left"/>
        <w:tblInd w:w="-7" w:type="dxa"/>
        <w:tblLayout w:type="fixed"/>
        <w:tblCellMar>
          <w:top w:w="60" w:type="dxa"/>
          <w:left w:w="60" w:type="dxa"/>
          <w:bottom w:w="60" w:type="dxa"/>
          <w:right w:w="60" w:type="dxa"/>
        </w:tblCellMar>
      </w:tblPr>
      <w:tblGrid>
        <w:gridCol w:w="2739"/>
        <w:gridCol w:w="8599"/>
      </w:tblGrid>
      <w:tr>
        <w:trPr>
          <w:tblHeader w:val="true"/>
        </w:trPr>
        <w:tc>
          <w:tcPr>
            <w:tcW w:w="2739"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Field</w:t>
            </w:r>
          </w:p>
        </w:tc>
        <w:tc>
          <w:tcPr>
            <w:tcW w:w="8599"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Value</w:t>
            </w:r>
          </w:p>
        </w:tc>
      </w:tr>
      <w:tr>
        <w:trPr/>
        <w:tc>
          <w:tcPr>
            <w:tcW w:w="273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Document ID</w:t>
            </w:r>
          </w:p>
        </w:tc>
        <w:tc>
          <w:tcPr>
            <w:tcW w:w="859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REG-06</w:t>
            </w:r>
          </w:p>
        </w:tc>
      </w:tr>
      <w:tr>
        <w:trPr/>
        <w:tc>
          <w:tcPr>
            <w:tcW w:w="273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Revision</w:t>
            </w:r>
          </w:p>
        </w:tc>
        <w:tc>
          <w:tcPr>
            <w:tcW w:w="859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1.0</w:t>
            </w:r>
          </w:p>
        </w:tc>
      </w:tr>
      <w:tr>
        <w:trPr/>
        <w:tc>
          <w:tcPr>
            <w:tcW w:w="273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Status</w:t>
            </w:r>
          </w:p>
        </w:tc>
        <w:tc>
          <w:tcPr>
            <w:tcW w:w="859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LIVE REGISTER — currently empty</w:t>
            </w:r>
          </w:p>
        </w:tc>
      </w:tr>
      <w:tr>
        <w:trPr/>
        <w:tc>
          <w:tcPr>
            <w:tcW w:w="273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Owner</w:t>
            </w:r>
          </w:p>
        </w:tc>
        <w:tc>
          <w:tcPr>
            <w:tcW w:w="859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Managing Director (Anita Johan)</w:t>
            </w:r>
          </w:p>
        </w:tc>
      </w:tr>
      <w:tr>
        <w:trPr/>
        <w:tc>
          <w:tcPr>
            <w:tcW w:w="273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ISO 9001:2015 clauses</w:t>
            </w:r>
          </w:p>
        </w:tc>
        <w:tc>
          <w:tcPr>
            <w:tcW w:w="859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8.2.1, 9.1.2, 10.2.1 a)</w:t>
            </w:r>
          </w:p>
        </w:tc>
      </w:tr>
      <w:tr>
        <w:trPr/>
        <w:tc>
          <w:tcPr>
            <w:tcW w:w="273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Governing procedure</w:t>
            </w:r>
          </w:p>
        </w:tc>
        <w:tc>
          <w:tcPr>
            <w:tcW w:w="859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SOP-04</w:t>
            </w:r>
          </w:p>
        </w:tc>
      </w:tr>
      <w:tr>
        <w:trPr/>
        <w:tc>
          <w:tcPr>
            <w:tcW w:w="2739"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Reviewed</w:t>
            </w:r>
          </w:p>
        </w:tc>
        <w:tc>
          <w:tcPr>
            <w:tcW w:w="8599"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2026-10-07 — Alexander Peter (EchoMind Project Lead); QA Sheryl Nazareth</w:t>
            </w:r>
          </w:p>
        </w:tc>
      </w:tr>
    </w:tbl>
    <w:p>
      <w:pPr>
        <w:pStyle w:val="HorizontalLine"/>
        <w:bidi w:val="0"/>
        <w:jc w:val="left"/>
        <w:rPr/>
      </w:pPr>
      <w:r>
        <w:rPr/>
      </w:r>
    </w:p>
    <w:p>
      <w:pPr>
        <w:pStyle w:val="Heading2"/>
        <w:bidi w:val="0"/>
        <w:jc w:val="left"/>
        <w:rPr/>
      </w:pPr>
      <w:r>
        <w:rPr/>
        <w:t>1. Purpose</w:t>
      </w:r>
    </w:p>
    <w:p>
      <w:pPr>
        <w:pStyle w:val="BodyText"/>
        <w:bidi w:val="0"/>
        <w:jc w:val="left"/>
        <w:rPr/>
      </w:pPr>
      <w:r>
        <w:rPr/>
        <w:t>A single place where every customer enquiry, item of feedback and complaint is recorded, so that customer satisfaction can be monitored (9.1.2) and so that complaints are treated as a nonconformity input (10.2.1 a) rather than handled and forgotten.</w:t>
      </w:r>
    </w:p>
    <w:p>
      <w:pPr>
        <w:pStyle w:val="Heading2"/>
        <w:bidi w:val="0"/>
        <w:jc w:val="left"/>
        <w:rPr/>
      </w:pPr>
      <w:r>
        <w:rPr/>
        <w:t>2. Log</w:t>
      </w:r>
    </w:p>
    <w:tbl>
      <w:tblPr>
        <w:tblW w:w="5000" w:type="pct"/>
        <w:jc w:val="left"/>
        <w:tblInd w:w="-7" w:type="dxa"/>
        <w:tblLayout w:type="fixed"/>
        <w:tblCellMar>
          <w:top w:w="60" w:type="dxa"/>
          <w:left w:w="60" w:type="dxa"/>
          <w:bottom w:w="60" w:type="dxa"/>
          <w:right w:w="60" w:type="dxa"/>
        </w:tblCellMar>
      </w:tblPr>
      <w:tblGrid>
        <w:gridCol w:w="695"/>
        <w:gridCol w:w="531"/>
        <w:gridCol w:w="1126"/>
        <w:gridCol w:w="846"/>
        <w:gridCol w:w="1492"/>
        <w:gridCol w:w="951"/>
        <w:gridCol w:w="1182"/>
        <w:gridCol w:w="1738"/>
        <w:gridCol w:w="791"/>
        <w:gridCol w:w="1226"/>
        <w:gridCol w:w="761"/>
      </w:tblGrid>
      <w:tr>
        <w:trPr>
          <w:tblHeader w:val="true"/>
        </w:trPr>
        <w:tc>
          <w:tcPr>
            <w:tcW w:w="695"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Ref</w:t>
            </w:r>
          </w:p>
        </w:tc>
        <w:tc>
          <w:tcPr>
            <w:tcW w:w="531"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Date</w:t>
            </w:r>
          </w:p>
        </w:tc>
        <w:tc>
          <w:tcPr>
            <w:tcW w:w="1126"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Customer / contact</w:t>
            </w:r>
          </w:p>
        </w:tc>
        <w:tc>
          <w:tcPr>
            <w:tcW w:w="846"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Channel</w:t>
            </w:r>
          </w:p>
        </w:tc>
        <w:tc>
          <w:tcPr>
            <w:tcW w:w="1492"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Type (enquiry / feedback / complaint)</w:t>
            </w:r>
          </w:p>
        </w:tc>
        <w:tc>
          <w:tcPr>
            <w:tcW w:w="951"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Summary</w:t>
            </w:r>
          </w:p>
        </w:tc>
        <w:tc>
          <w:tcPr>
            <w:tcW w:w="1182"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Immediate response</w:t>
            </w:r>
          </w:p>
        </w:tc>
        <w:tc>
          <w:tcPr>
            <w:tcW w:w="1738"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Nonconformity raised? (REG-04 ref)</w:t>
            </w:r>
          </w:p>
        </w:tc>
        <w:tc>
          <w:tcPr>
            <w:tcW w:w="791"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Action taken</w:t>
            </w:r>
          </w:p>
        </w:tc>
        <w:tc>
          <w:tcPr>
            <w:tcW w:w="1226"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Customer informed (date)</w:t>
            </w:r>
          </w:p>
        </w:tc>
        <w:tc>
          <w:tcPr>
            <w:tcW w:w="761"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Closed</w:t>
            </w:r>
          </w:p>
        </w:tc>
      </w:tr>
      <w:tr>
        <w:trPr/>
        <w:tc>
          <w:tcPr>
            <w:tcW w:w="695"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CF-2026-001</w:t>
            </w:r>
          </w:p>
        </w:tc>
        <w:tc>
          <w:tcPr>
            <w:tcW w:w="531"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sz w:val="4"/>
                <w:szCs w:val="4"/>
              </w:rPr>
            </w:pPr>
            <w:r>
              <w:rPr>
                <w:sz w:val="4"/>
                <w:szCs w:val="4"/>
              </w:rPr>
            </w:r>
          </w:p>
        </w:tc>
        <w:tc>
          <w:tcPr>
            <w:tcW w:w="1126"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sz w:val="4"/>
                <w:szCs w:val="4"/>
              </w:rPr>
            </w:pPr>
            <w:r>
              <w:rPr>
                <w:sz w:val="4"/>
                <w:szCs w:val="4"/>
              </w:rPr>
            </w:r>
          </w:p>
        </w:tc>
        <w:tc>
          <w:tcPr>
            <w:tcW w:w="846"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sz w:val="4"/>
                <w:szCs w:val="4"/>
              </w:rPr>
            </w:pPr>
            <w:r>
              <w:rPr>
                <w:sz w:val="4"/>
                <w:szCs w:val="4"/>
              </w:rPr>
            </w:r>
          </w:p>
        </w:tc>
        <w:tc>
          <w:tcPr>
            <w:tcW w:w="1492"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sz w:val="4"/>
                <w:szCs w:val="4"/>
              </w:rPr>
            </w:pPr>
            <w:r>
              <w:rPr>
                <w:sz w:val="4"/>
                <w:szCs w:val="4"/>
              </w:rPr>
            </w:r>
          </w:p>
        </w:tc>
        <w:tc>
          <w:tcPr>
            <w:tcW w:w="951"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sz w:val="4"/>
                <w:szCs w:val="4"/>
              </w:rPr>
            </w:pPr>
            <w:r>
              <w:rPr>
                <w:sz w:val="4"/>
                <w:szCs w:val="4"/>
              </w:rPr>
            </w:r>
          </w:p>
        </w:tc>
        <w:tc>
          <w:tcPr>
            <w:tcW w:w="1182"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sz w:val="4"/>
                <w:szCs w:val="4"/>
              </w:rPr>
            </w:pPr>
            <w:r>
              <w:rPr>
                <w:sz w:val="4"/>
                <w:szCs w:val="4"/>
              </w:rPr>
            </w:r>
          </w:p>
        </w:tc>
        <w:tc>
          <w:tcPr>
            <w:tcW w:w="1738"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sz w:val="4"/>
                <w:szCs w:val="4"/>
              </w:rPr>
            </w:pPr>
            <w:r>
              <w:rPr>
                <w:sz w:val="4"/>
                <w:szCs w:val="4"/>
              </w:rPr>
            </w:r>
          </w:p>
        </w:tc>
        <w:tc>
          <w:tcPr>
            <w:tcW w:w="791"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sz w:val="4"/>
                <w:szCs w:val="4"/>
              </w:rPr>
            </w:pPr>
            <w:r>
              <w:rPr>
                <w:sz w:val="4"/>
                <w:szCs w:val="4"/>
              </w:rPr>
            </w:r>
          </w:p>
        </w:tc>
        <w:tc>
          <w:tcPr>
            <w:tcW w:w="1226"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sz w:val="4"/>
                <w:szCs w:val="4"/>
              </w:rPr>
            </w:pPr>
            <w:r>
              <w:rPr>
                <w:sz w:val="4"/>
                <w:szCs w:val="4"/>
              </w:rPr>
            </w:r>
          </w:p>
        </w:tc>
        <w:tc>
          <w:tcPr>
            <w:tcW w:w="761"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sz w:val="4"/>
                <w:szCs w:val="4"/>
              </w:rPr>
            </w:pPr>
            <w:r>
              <w:rPr>
                <w:sz w:val="4"/>
                <w:szCs w:val="4"/>
              </w:rPr>
            </w:r>
          </w:p>
        </w:tc>
      </w:tr>
    </w:tbl>
    <w:p>
      <w:pPr>
        <w:pStyle w:val="BodyText"/>
        <w:bidi w:val="0"/>
        <w:jc w:val="left"/>
        <w:rPr/>
      </w:pPr>
      <w:r>
        <w:rPr/>
        <w:t xml:space="preserve">Use </w:t>
      </w:r>
      <w:r>
        <w:rPr>
          <w:rStyle w:val="SourceText"/>
        </w:rPr>
        <w:t>forms/FRM-08_Customer_Feedback_and_Complaint_Record.md</w:t>
      </w:r>
      <w:r>
        <w:rPr/>
        <w:t xml:space="preserve"> for the full record and summarise it here.</w:t>
      </w:r>
    </w:p>
    <w:p>
      <w:pPr>
        <w:pStyle w:val="Heading2"/>
        <w:bidi w:val="0"/>
        <w:jc w:val="left"/>
        <w:rPr/>
      </w:pPr>
      <w:r>
        <w:rPr/>
        <w:t>3. Satisfaction monitoring (9.1.2)</w:t>
      </w:r>
    </w:p>
    <w:p>
      <w:pPr>
        <w:pStyle w:val="BodyText"/>
        <w:bidi w:val="0"/>
        <w:jc w:val="left"/>
        <w:rPr/>
      </w:pPr>
      <w:r>
        <w:rPr/>
        <w:t xml:space="preserve">ISO 9001:2015 requires monitoring of customer </w:t>
      </w:r>
      <w:r>
        <w:rPr>
          <w:rStyle w:val="Emphasis"/>
        </w:rPr>
        <w:t>perception</w:t>
      </w:r>
      <w:r>
        <w:rPr/>
        <w:t>, not only of delivery. Methods to be used, and the frequency of each, are defined in SOP-04 §7.</w:t>
      </w:r>
    </w:p>
    <w:tbl>
      <w:tblPr>
        <w:tblW w:w="5000" w:type="pct"/>
        <w:jc w:val="left"/>
        <w:tblInd w:w="-7" w:type="dxa"/>
        <w:tblLayout w:type="fixed"/>
        <w:tblCellMar>
          <w:top w:w="60" w:type="dxa"/>
          <w:left w:w="60" w:type="dxa"/>
          <w:bottom w:w="60" w:type="dxa"/>
          <w:right w:w="60" w:type="dxa"/>
        </w:tblCellMar>
      </w:tblPr>
      <w:tblGrid>
        <w:gridCol w:w="1899"/>
        <w:gridCol w:w="1873"/>
        <w:gridCol w:w="3448"/>
        <w:gridCol w:w="1873"/>
        <w:gridCol w:w="2245"/>
      </w:tblGrid>
      <w:tr>
        <w:trPr>
          <w:tblHeader w:val="true"/>
        </w:trPr>
        <w:tc>
          <w:tcPr>
            <w:tcW w:w="1899"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Period</w:t>
            </w:r>
          </w:p>
        </w:tc>
        <w:tc>
          <w:tcPr>
            <w:tcW w:w="1873"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Method</w:t>
            </w:r>
          </w:p>
        </w:tc>
        <w:tc>
          <w:tcPr>
            <w:tcW w:w="3448"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Customers covered</w:t>
            </w:r>
          </w:p>
        </w:tc>
        <w:tc>
          <w:tcPr>
            <w:tcW w:w="1873"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Result</w:t>
            </w:r>
          </w:p>
        </w:tc>
        <w:tc>
          <w:tcPr>
            <w:tcW w:w="2245"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Reviewed at</w:t>
            </w:r>
          </w:p>
        </w:tc>
      </w:tr>
      <w:tr>
        <w:trPr/>
        <w:tc>
          <w:tcPr>
            <w:tcW w:w="1899"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rStyle w:val="SourceText"/>
              </w:rPr>
              <w:t>________</w:t>
            </w:r>
          </w:p>
        </w:tc>
        <w:tc>
          <w:tcPr>
            <w:tcW w:w="1873"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rStyle w:val="SourceText"/>
              </w:rPr>
              <w:t>________</w:t>
            </w:r>
          </w:p>
        </w:tc>
        <w:tc>
          <w:tcPr>
            <w:tcW w:w="3448"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rStyle w:val="SourceText"/>
              </w:rPr>
              <w:t>________</w:t>
            </w:r>
          </w:p>
        </w:tc>
        <w:tc>
          <w:tcPr>
            <w:tcW w:w="1873"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rStyle w:val="SourceText"/>
              </w:rPr>
              <w:t>________</w:t>
            </w:r>
          </w:p>
        </w:tc>
        <w:tc>
          <w:tcPr>
            <w:tcW w:w="2245"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rStyle w:val="SourceText"/>
              </w:rPr>
              <w:t>________</w:t>
            </w:r>
          </w:p>
        </w:tc>
      </w:tr>
    </w:tbl>
    <w:p>
      <w:pPr>
        <w:pStyle w:val="Heading2"/>
        <w:bidi w:val="0"/>
        <w:jc w:val="left"/>
        <w:rPr/>
      </w:pPr>
      <w:r>
        <w:rPr/>
        <w:t>4. Current state</w:t>
      </w:r>
    </w:p>
    <w:p>
      <w:pPr>
        <w:pStyle w:val="BodyText"/>
        <w:bidi w:val="0"/>
        <w:spacing w:before="0" w:after="283"/>
        <w:jc w:val="left"/>
        <w:rPr/>
      </w:pPr>
      <w:r>
        <w:rPr/>
        <w:t>The product is early-commercial and no customer feedback log existed before this register. It is empty, and that is an accurate reflection of the position rather than an omission. The first entry should be made at the first customer interaction of any kind — including a trial or a pilot.</w:t>
      </w:r>
    </w:p>
    <w:sectPr>
      <w:type w:val="nextPage"/>
      <w:pgSz w:w="11906" w:h="16838"/>
      <w:pgMar w:left="1134" w:right="567" w:gutter="0" w:header="0" w:top="567" w:footer="0" w:bottom="567"/>
      <w:pgNumType w:fmt="decimal"/>
      <w:formProt w:val="false"/>
      <w:textDirection w:val="lrTb"/>
      <w:docGrid w:type="default" w:linePitch="600" w:charSpace="3891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altName w:val="Arial"/>
    <w:charset w:val="01"/>
    <w:family w:val="auto"/>
    <w:pitch w:val="default"/>
  </w:font>
  <w:font w:name="Noto Sans">
    <w:charset w:val="01"/>
    <w:family w:val="auto"/>
    <w:pitch w:val="variable"/>
  </w:font>
  <w:font w:name="Consolas">
    <w:charset w:val="01"/>
    <w:family w:val="auto"/>
    <w:pitch w:val="default"/>
  </w:font>
  <w:font w:name="Liberation Sans">
    <w:altName w:val="Arial"/>
    <w:charset w:val="01"/>
    <w:family w:val="swiss"/>
    <w:pitch w:val="variable"/>
  </w:font>
</w:fonts>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Calibri;Arial" w:hAnsi="Calibri;Arial" w:eastAsia="Calibri;Arial" w:cs="Calibri;Arial"/>
      <w:color w:val="auto"/>
      <w:sz w:val="21"/>
      <w:szCs w:val="21"/>
      <w:lang w:val="en-US" w:eastAsia="zh-CN" w:bidi="hi-IN"/>
    </w:rPr>
  </w:style>
  <w:style w:type="paragraph" w:styleId="Heading1">
    <w:name w:val="Heading 1"/>
    <w:basedOn w:val="Heading"/>
    <w:next w:val="BodyText"/>
    <w:qFormat/>
    <w:pPr/>
    <w:rPr>
      <w:rFonts w:ascii="Noto Sans" w:hAnsi="Noto Sans"/>
      <w:b/>
      <w:bCs/>
      <w:color w:val="1F3A5F"/>
      <w:sz w:val="48"/>
      <w:szCs w:val="44"/>
    </w:rPr>
  </w:style>
  <w:style w:type="paragraph" w:styleId="Heading2">
    <w:name w:val="Heading 2"/>
    <w:basedOn w:val="Heading"/>
    <w:next w:val="BodyText"/>
    <w:qFormat/>
    <w:pPr>
      <w:spacing w:before="200" w:after="120"/>
      <w:outlineLvl w:val="1"/>
    </w:pPr>
    <w:rPr>
      <w:rFonts w:ascii="Liberation Serif" w:hAnsi="Liberation Serif" w:eastAsia="Noto Serif CJK SC" w:cs="Lohit Devanagari"/>
      <w:b/>
      <w:bCs/>
      <w:sz w:val="36"/>
      <w:szCs w:val="36"/>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Consolas" w:hAnsi="Consolas" w:eastAsia="Consolas" w:cs="Consolas"/>
    </w:rPr>
  </w:style>
  <w:style w:type="character" w:styleId="Strong">
    <w:name w:val="Strong"/>
    <w:qFormat/>
    <w:rPr>
      <w:b/>
      <w:bCs/>
    </w:rPr>
  </w:style>
  <w:style w:type="character" w:styleId="Emphasis">
    <w:name w:val="Emphasis"/>
    <w:qFormat/>
    <w:rPr>
      <w:i/>
      <w:iCs/>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z w:val="18"/>
      <w:szCs w:val="18"/>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List">
    <w:name w:val="List"/>
    <w:basedOn w:val="BodyText"/>
    <w:pPr/>
    <w:rPr>
      <w:rFonts w:cs="Lohit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shd w:fill="1F3A5F" w:val="clear"/>
      <w:jc w:val="center"/>
    </w:pPr>
    <w:rPr>
      <w:b/>
      <w:bCs/>
      <w:color w:val="FFFFFF"/>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LibreOffice/24.2.7.2$Linux_AARCH64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