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EchoMind Enterprise – Privacy, Security &amp; Compliance Overview</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EM26-01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 Privacy, Security &amp; Compliance Overview</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Describe, accurately and as of 2026-10-06, how EchoMind Enterprise protects customer data — the 2026 counterpart of the 2025 overview prepared for a university pilot customer. Each area lists what is in place and what is not.</w:t>
      </w:r>
    </w:p>
    <w:p>
      <w:pPr>
        <w:pBdr>
          <w:left w:val="single" w:color="E0A800" w:sz="18" w:space="8"/>
        </w:pBdr>
        <w:shd w:fill="FFF8E1" w:color="auto" w:val="clear"/>
        <w:spacing w:after="160" w:before="120"/>
      </w:pPr>
      <w:r>
        <w:rPr>
          <w:sz w:val="19"/>
          <w:szCs w:val="19"/>
        </w:rPr>
        <w:t xml:space="preserve">Sources: SOP-11, REG-03, REG-04 and the tests executed on 2026-10-06. This is not a certification or attestation.</w:t>
      </w:r>
    </w:p>
    <w:p>
      <w:pPr>
        <w:pStyle w:val="Heading1"/>
      </w:pPr>
      <w:r>
        <w:t xml:space="preserve">Controls by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tblHeader/>
        </w:trPr>
        <w:tc>
          <w:tcPr>
            <w:tcW w:type="dxa" w:w="2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Area</w:t>
            </w:r>
          </w:p>
        </w:tc>
        <w:tc>
          <w:tcPr>
            <w:tcW w:type="dxa" w:w="4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In place</w:t>
            </w:r>
          </w:p>
        </w:tc>
        <w:tc>
          <w:tcPr>
            <w:tcW w:type="dxa" w:w="33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Not in place / open</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 protection &amp; privacy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All models served locally; no third-party AI APIs; no telemetry. Customer data stays on the customer's host (</w:t>
            </w:r>
            <w:r>
              <w:rPr>
                <w:rFonts w:ascii="Consolas" w:cs="Consolas" w:eastAsia="Consolas" w:hAnsi="Consolas"/>
                <w:b w:val="false"/>
                <w:bCs w:val="false"/>
                <w:color w:val="222222"/>
                <w:sz w:val="15"/>
                <w:szCs w:val="15"/>
              </w:rPr>
              <w:t xml:space="preserve">echomind_data</w:t>
            </w:r>
            <w:r>
              <w:rPr>
                <w:b w:val="false"/>
                <w:bCs w:val="false"/>
                <w:color w:val="222222"/>
                <w:sz w:val="17"/>
                <w:szCs w:val="17"/>
              </w:rPr>
              <w:t xml:space="preserve"> volume).</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 encryption at rest; no data-retention policy (R-06, R-13).</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Network security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Run-time offline (HF_HUB_OFFLINE=1). Public reference instance reached only through a Cloudflare Tunnel (no inbound ports).</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CORS default </w:t>
            </w:r>
            <w:r>
              <w:rPr>
                <w:rFonts w:ascii="Consolas" w:cs="Consolas" w:eastAsia="Consolas" w:hAnsi="Consolas"/>
                <w:b w:val="false"/>
                <w:bCs w:val="false"/>
                <w:color w:val="222222"/>
                <w:sz w:val="15"/>
                <w:szCs w:val="15"/>
              </w:rPr>
              <w:t xml:space="preserve">*</w:t>
            </w:r>
            <w:r>
              <w:rPr>
                <w:b w:val="false"/>
                <w:bCs w:val="false"/>
                <w:color w:val="222222"/>
                <w:sz w:val="17"/>
                <w:szCs w:val="17"/>
              </w:rPr>
              <w:t xml:space="preserve">; rate limiting off by default.</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Application security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Prompt-injection guards in all LLM prompts; PBKDF2-HMAC-SHA256 (200k) password hashing; export gateway for PII/secrets.</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Fixed 2026-10-06: export key formats (NC-2026-015) and upload allow-list (NC-2026-013) — verified in run 4.</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Access control &amp; authentication</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Local accounts + JWT; RBAC (admin/user); voice WebSocket gated; login enabled on the reference instance since 2026-10-06 (verified externally).</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Auth off by default for new deployments; backend WebSockets outside the HTTP guard (D3). Logout revocation fixed 2026-10-06 (NC-2026-012).</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Logging, monitoring &amp; incident response</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Activity log (user, path, status, IP); bounded container logs; incidents handled under SOP-10 and REG-04.</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Activity logging is best-effort; no external uptime/gate monitoring yet.</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Physical &amp; environmental</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On-premises deployment: physical security is the customer's (reference instance: NVIDIA DGX Spark at Ajace).</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Backup &amp; disaster recovery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Backup/restore scripts; restore verified 2026-09-22; archive checksum verified 2026-10-06.</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Nightly off-host schedule built but not installed; last backup 2026-09-22.</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Compliance &amp; policies</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9001 QMS documented (docs/qms, DRAFT); defects and CAPA logged (REG-04).</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 SOC 2 / HIPAA certification claimed; model licences unverified (C1–C3).</w:t>
            </w:r>
          </w:p>
        </w:tc>
      </w:tr>
    </w:tbl>
    <w:p>
      <w:pPr>
        <w:spacing w:after="120"/>
      </w:pPr>
    </w:p>
    <w:p>
      <w:pPr>
        <w:pStyle w:val="Heading1"/>
      </w:pPr>
      <w:r>
        <w:t xml:space="preserve">Data privacy and PII statement</w:t>
      </w:r>
    </w:p>
    <w:p>
      <w:pPr>
        <w:spacing w:after="100"/>
      </w:pPr>
      <w:r>
        <w:t xml:space="preserve">EchoMind Enterprise processes documents, transcripts, audio and chat messages supplied by the customer, entirely on the customer's hardware. Ajace AI does not receive this data. Retention periods are not yet defined (decision B3).</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EchoMind Enterprise – Privacy, Security &amp; Compliance Overview</dc:title>
  <dc:creator>Ajace Inc. — EchoMind QMS</dc:creator>
  <cp:lastModifiedBy>Un-named</cp:lastModifiedBy>
  <cp:revision>1</cp:revision>
  <dcterms:created xsi:type="dcterms:W3CDTF">2026-10-07T01:08:47.689Z</dcterms:created>
  <dcterms:modified xsi:type="dcterms:W3CDTF">2026-10-07T01:08:47.689Z</dcterms:modified>
</cp:coreProperties>
</file>

<file path=docProps/custom.xml><?xml version="1.0" encoding="utf-8"?>
<Properties xmlns="http://schemas.openxmlformats.org/officeDocument/2006/custom-properties" xmlns:vt="http://schemas.openxmlformats.org/officeDocument/2006/docPropsVTypes"/>
</file>