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lessons learnt on the rebuilt product. Every entry traces to a recorded event.</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Summary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1200"/>
        <w:gridCol w:w="1500"/>
        <w:gridCol w:w="126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Item</w:t>
            </w:r>
          </w:p>
        </w:tc>
        <w:tc>
          <w:tcPr>
            <w:tcW w:type="dxa" w:w="1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Source</w:t>
            </w:r>
          </w:p>
        </w:tc>
        <w:tc>
          <w:tcPr>
            <w:tcW w:type="dxa" w:w="12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w:t>
            </w:r>
          </w:p>
        </w:tc>
        <w:tc>
          <w:tcPr>
            <w:tcW w:type="dxa" w:w="1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1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c>
          <w:tcPr>
            <w:tcW w:type="dxa" w:w="12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Captured</w:t>
            </w:r>
          </w:p>
        </w:tc>
      </w:tr>
    </w:tbl>
    <w:p>
      <w:pPr>
        <w:spacing w:after="120"/>
      </w:pPr>
    </w:p>
    <w:p>
      <w:pPr>
        <w:pStyle w:val="Heading1"/>
      </w:pPr>
      <w:r>
        <w:t xml:space="preserve">Risks and actions</w:t>
      </w:r>
    </w:p>
    <w:p>
      <w:pPr>
        <w:pStyle w:val="ListParagraph"/>
        <w:numPr>
          <w:ilvl w:val="0"/>
          <w:numId w:val="2"/>
        </w:numPr>
        <w:spacing w:after="60"/>
      </w:pPr>
      <w:r>
        <w:t xml:space="preserve">Risk: knowledge held by one person — Action: this log + REG-04/REG-10 are the shared record.</w:t>
      </w:r>
    </w:p>
    <w:p>
      <w:pPr>
        <w:pStyle w:val="ListParagraph"/>
        <w:numPr>
          <w:ilvl w:val="0"/>
          <w:numId w:val="2"/>
        </w:numPr>
        <w:spacing w:after="60"/>
      </w:pPr>
      <w:r>
        <w:t xml:space="preserve">Risk: repeating mistakes — Action: open actions carried to the project board and management review.</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 EchoMind Enterprise (2026)</dc:title>
  <dc:creator>Ajace Inc. — EchoMind QMS</dc:creator>
  <cp:lastModifiedBy>Un-named</cp:lastModifiedBy>
  <cp:revision>1</cp:revision>
  <dcterms:created xsi:type="dcterms:W3CDTF">2026-10-07T01:08:47.635Z</dcterms:created>
  <dcterms:modified xsi:type="dcterms:W3CDTF">2026-10-07T01:08:47.635Z</dcterms:modified>
</cp:coreProperties>
</file>

<file path=docProps/custom.xml><?xml version="1.0" encoding="utf-8"?>
<Properties xmlns="http://schemas.openxmlformats.org/officeDocument/2006/custom-properties" xmlns:vt="http://schemas.openxmlformats.org/officeDocument/2006/docPropsVTypes"/>
</file>