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QM-01 — Quality Manual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68"/>
        <w:gridCol w:w="3326"/>
      </w:tblGrid>
      <w:tr>
        <w:trPr>
          <w:tblHeader w:val="true"/>
        </w:trPr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</w:tr>
      <w:tr>
        <w:trPr/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3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4.3, 4.4, 5, 6, 7, 8, 9, 10 (overview)</w:t>
            </w:r>
          </w:p>
        </w:tc>
      </w:tr>
    </w:tbl>
    <w:p>
      <w:pPr>
        <w:pStyle w:val="BlockQuotation"/>
        <w:bidi w:val="0"/>
        <w:jc w:val="left"/>
        <w:rPr/>
      </w:pPr>
      <w:r>
        <w:rPr>
          <w:rStyle w:val="Strong"/>
        </w:rPr>
        <w:t>Read this first.</w:t>
      </w:r>
      <w:r>
        <w:rPr/>
        <w:t xml:space="preserve"> ISO 9001:2015 does not require a quality manual. This one exists because a small organisation benefits from a single document that says what the management system is, what it covers, and — candidly — how much of it is operating today. Sections 1 to 12 describe the system. </w:t>
      </w:r>
      <w:r>
        <w:rPr>
          <w:rStyle w:val="Strong"/>
        </w:rPr>
        <w:t>Section 13 states its actual implementation status, which is: authored, not yet operating.</w:t>
      </w:r>
      <w:r>
        <w:rPr/>
        <w:t xml:space="preserve"> Do not present this manual to a customer or a certification body without section 13.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organisation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AI</w:t>
      </w:r>
      <w:r>
        <w:rPr/>
        <w:t xml:space="preserve"> designs, builds, customises, deploys and supports </w:t>
      </w:r>
      <w:r>
        <w:rPr>
          <w:rStyle w:val="Strong"/>
        </w:rPr>
        <w:t>EchoMind Enterprise</w:t>
      </w:r>
      <w:r>
        <w:rPr/>
        <w:t xml:space="preserve"> — a private, on-premises artificial-intelligence workspace. The platform provides knowledge chat over the customer's own documents with citations, live transcription with real-time fact-checking against that knowledge base, meeting capture and reporting, a full-duplex voice assistant, and document generation. Every model it uses — language, embedding, speech-to-text, text-to-speech and image generation — is open-weight and served locally. The reference deployment runs the entire platform on a single NVIDIA DGX Spark (GB10).</w:t>
      </w:r>
    </w:p>
    <w:p>
      <w:pPr>
        <w:pStyle w:val="BodyText"/>
        <w:bidi w:val="0"/>
        <w:jc w:val="left"/>
        <w:rPr/>
      </w:pPr>
      <w:r>
        <w:rPr/>
        <w:t xml:space="preserve">Ajace AI's commercial model is </w:t>
      </w:r>
      <w:r>
        <w:rPr>
          <w:rStyle w:val="Strong"/>
        </w:rPr>
        <w:t>customisation of a building block</w:t>
      </w:r>
      <w:r>
        <w:rPr/>
        <w:t>, not sale of a fixed product. Ajace AI does not sell hardware; it establishes the customer's problem statement and advises on the hardware and cloud arrangement that suits the customer's security posture.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1"/>
        <w:gridCol w:w="3133"/>
      </w:tblGrid>
      <w:tr>
        <w:trPr>
          <w:tblHeader w:val="true"/>
        </w:trPr>
        <w:tc>
          <w:tcPr>
            <w:tcW w:w="206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name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address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Principal place of business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Company registration number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Personnel at revision 1.0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(see §13.3 — this is material to several clauses)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Context of the organisation (4.1)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68"/>
        <w:gridCol w:w="2626"/>
      </w:tblGrid>
      <w:tr>
        <w:trPr>
          <w:tblHeader w:val="true"/>
        </w:trPr>
        <w:tc>
          <w:tcPr>
            <w:tcW w:w="256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External issues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Why it matters to quality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operate in regulated sectors (defence, government, legal, finance, healthcare)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Their own compliance obligations flow through to us as product requirements — data residency, auditability, accuracy of assertions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sovereignty and AI-privacy concern is the reason customers choose on-premises AI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entire value proposition rests on data never leaving the customer's perimeter; a breach of that is an existential quality failure, not a defect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Rapid movement in open-weight models and inference runtimes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Capability improves quickly, but supplier interfaces and behaviour change under us — see the NeMo </w:t>
            </w:r>
            <w:r>
              <w:rPr>
                <w:rStyle w:val="SourceText"/>
              </w:rPr>
              <w:t>main</w:t>
            </w:r>
            <w:r>
              <w:rPr/>
              <w:t xml:space="preserve"> dependency in SOP-09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Specialised accelerator hardware (NVIDIA GB10 / Grace-Blackwell) is new and its software stack is immature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Real, evidenced defects have originated in the platform below us (CUDA graph conflicts, NVML behaviour in containers)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Rising expectation — and emerging regulation — that AI systems are transparent about what they know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Grounding, citation and honest abstention are becoming compliance features, not differentiators</w:t>
            </w:r>
          </w:p>
        </w:tc>
      </w:tr>
      <w:tr>
        <w:trPr/>
        <w:tc>
          <w:tcPr>
            <w:tcW w:w="2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Air-gapped and offline operation is a customer requirement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 must be pre-cached and reproducible offline; we cannot rely on a network at run time</w:t>
            </w:r>
          </w:p>
        </w:tc>
      </w:tr>
    </w:tbl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0"/>
        <w:gridCol w:w="2334"/>
      </w:tblGrid>
      <w:tr>
        <w:trPr>
          <w:tblHeader w:val="true"/>
        </w:trPr>
        <w:tc>
          <w:tcPr>
            <w:tcW w:w="286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Internal issues</w:t>
            </w:r>
          </w:p>
        </w:tc>
        <w:tc>
          <w:tcPr>
            <w:tcW w:w="233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Why it matters to quality</w:t>
            </w:r>
          </w:p>
        </w:tc>
      </w:tr>
      <w:tr>
        <w:trPr/>
        <w:tc>
          <w:tcPr>
            <w:tcW w:w="2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Very small organisation, currently one person</w:t>
            </w:r>
          </w:p>
        </w:tc>
        <w:tc>
          <w:tcPr>
            <w:tcW w:w="2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Single point of failure for knowledge and delivery; impartial internal audit is not currently possible (SOP-13)</w:t>
            </w:r>
          </w:p>
        </w:tc>
      </w:tr>
      <w:tr>
        <w:trPr/>
        <w:tc>
          <w:tcPr>
            <w:tcW w:w="2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is AI-assisted and says so in its commit record</w:t>
            </w:r>
          </w:p>
        </w:tc>
        <w:tc>
          <w:tcPr>
            <w:tcW w:w="2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of generated work is a mandatory control, not an optional one (SOP-05)</w:t>
            </w:r>
          </w:p>
        </w:tc>
      </w:tr>
      <w:tr>
        <w:trPr/>
        <w:tc>
          <w:tcPr>
            <w:tcW w:w="2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Strong measurement culture already in place — a 52-question golden evaluation, unit suites, and a paper harness that records findings contradicting our own published claims</w:t>
            </w:r>
          </w:p>
        </w:tc>
        <w:tc>
          <w:tcPr>
            <w:tcW w:w="2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genuine strength to build the QMS on rather than replace</w:t>
            </w:r>
          </w:p>
        </w:tc>
      </w:tr>
      <w:tr>
        <w:trPr/>
        <w:tc>
          <w:tcPr>
            <w:tcW w:w="2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Weak release discipline — no versioning, no CI, no change register</w:t>
            </w:r>
          </w:p>
        </w:tc>
        <w:tc>
          <w:tcPr>
            <w:tcW w:w="2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largest cluster of nonconformities against ISO 9001 (§13, Gap Analysis)</w:t>
            </w:r>
          </w:p>
        </w:tc>
      </w:tr>
      <w:tr>
        <w:trPr/>
        <w:tc>
          <w:tcPr>
            <w:tcW w:w="28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 domain knowledge held largely in one person's head, commit bodies and </w:t>
            </w:r>
            <w:r>
              <w:rPr>
                <w:rStyle w:val="SourceText"/>
              </w:rPr>
              <w:t>docs/</w:t>
            </w:r>
          </w:p>
        </w:tc>
        <w:tc>
          <w:tcPr>
            <w:tcW w:w="2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Organisational knowledge (7.1.6) is a live risk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Interested parties and their requirements (4.2)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47"/>
        <w:gridCol w:w="2947"/>
      </w:tblGrid>
      <w:tr>
        <w:trPr>
          <w:tblHeader w:val="true"/>
        </w:trPr>
        <w:tc>
          <w:tcPr>
            <w:tcW w:w="224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Interested party</w:t>
            </w:r>
          </w:p>
        </w:tc>
        <w:tc>
          <w:tcPr>
            <w:tcW w:w="294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What they require from us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(regulated enterprises)</w:t>
            </w:r>
          </w:p>
        </w:tc>
        <w:tc>
          <w:tcPr>
            <w:tcW w:w="2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Answers grounded in their own material; data that never leaves their perimeter; tenant isolation; deployability offline; support and customisation; evidence they can show their own auditors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end users</w:t>
            </w:r>
          </w:p>
        </w:tc>
        <w:tc>
          <w:tcPr>
            <w:tcW w:w="2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Accurate, attributable answers; honest "I could not find that"; a system that does not invent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own regulators and auditors</w:t>
            </w:r>
          </w:p>
        </w:tc>
        <w:tc>
          <w:tcPr>
            <w:tcW w:w="2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Demonstrable control over data handling and over the accuracy of assertions the system makes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AI owner / personnel</w:t>
            </w:r>
          </w:p>
        </w:tc>
        <w:tc>
          <w:tcPr>
            <w:tcW w:w="2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system that makes quality repeatable rather than heroic; knowledge that survives a person being unavailable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providers (NVIDIA, Qwen, Nomic, Microsoft, Stability AI, Rhasspy, hexgrad)</w:t>
            </w:r>
          </w:p>
        </w:tc>
        <w:tc>
          <w:tcPr>
            <w:tcW w:w="2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Compliance with model licences and gated-model terms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and platform providers (Cloudflare, Hugging Face, GitHub, NVIDIA NGC, Docker Hub, Ubuntu mirror operators)</w:t>
            </w:r>
          </w:p>
        </w:tc>
        <w:tc>
          <w:tcPr>
            <w:tcW w:w="2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Acceptable use; our dependence on their availability is a supplier risk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Academic and conference reviewers</w:t>
            </w:r>
          </w:p>
        </w:tc>
        <w:tc>
          <w:tcPr>
            <w:tcW w:w="2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Claims supported by reproducible evidence; honest reporting of what was and was not measured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Requirements are monitored through customer communication (SOP-04), supplier review (SOP-09) and management review (SOP-15).</w:t>
      </w:r>
    </w:p>
    <w:p>
      <w:pPr>
        <w:pStyle w:val="Heading2"/>
        <w:bidi w:val="0"/>
        <w:jc w:val="left"/>
        <w:rPr/>
      </w:pPr>
      <w:r>
        <w:rPr/>
        <w:t>4. Scope of the quality management system (4.3)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Scope statement.</w:t>
      </w:r>
      <w:r>
        <w:rPr/>
        <w:t xml:space="preserve"> The design, development, customisation, deployment, and support of the EchoMind Enterprise on-premises artificial-intelligence software platform, and the related advisory services concerning hardware and deployment architecture, provided by Ajace AI from </w:t>
      </w:r>
      <w:r>
        <w:rPr>
          <w:rStyle w:val="SourceText"/>
        </w:rPr>
        <w:t>________________________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Included:</w:t>
      </w:r>
      <w:r>
        <w:rPr/>
        <w:t xml:space="preserve"> requirements capture and review; design and development of the platform and of per-customer customisations; verification and validation; configuration, build and release; deployment (on-premises and air-gapped) and the reference public instance; handling of customer data held by the platform; support, defect handling and corrective action.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Not included:</w:t>
      </w:r>
      <w:r>
        <w:rPr/>
        <w:t xml:space="preserve"> manufacture or supply of hardware (Ajace AI advises on hardware but neither manufactures nor resells it); the customer's own operation of their infrastructure, network and physical security once deployed on their premises.</w:t>
      </w:r>
    </w:p>
    <w:p>
      <w:pPr>
        <w:pStyle w:val="Heading3"/>
        <w:bidi w:val="0"/>
        <w:jc w:val="left"/>
        <w:rPr/>
      </w:pPr>
      <w:r>
        <w:rPr/>
        <w:t>4.1 Applicability of requirements</w:t>
      </w:r>
    </w:p>
    <w:p>
      <w:pPr>
        <w:pStyle w:val="BodyText"/>
        <w:bidi w:val="0"/>
        <w:jc w:val="left"/>
        <w:rPr/>
      </w:pPr>
      <w:r>
        <w:rPr/>
        <w:t>Every requirement of ISO 9001:2015 clauses 4–10 applies, with one qualification: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61"/>
        <w:gridCol w:w="3533"/>
      </w:tblGrid>
      <w:tr>
        <w:trPr>
          <w:tblHeader w:val="true"/>
        </w:trPr>
        <w:tc>
          <w:tcPr>
            <w:tcW w:w="16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353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Determination</w:t>
            </w:r>
          </w:p>
        </w:tc>
      </w:tr>
      <w:tr>
        <w:trPr/>
        <w:tc>
          <w:tcPr>
            <w:tcW w:w="1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7.1.5.2 Measurement traceability</w:t>
            </w:r>
          </w:p>
        </w:tc>
        <w:tc>
          <w:tcPr>
            <w:tcW w:w="35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Not applicable in its literal form.</w:t>
            </w:r>
            <w:r>
              <w:rPr/>
              <w:t xml:space="preserve"> No physical measuring equipment requiring calibration against international or national standards is used. The organisation's measuring instruments are software: the golden question set, the evaluation scripts and their thresholds. The equivalent control — version control and change control over those instruments so that a measurement result means the same thing over time — is specified in SOP-12 §5.</w:t>
            </w:r>
          </w:p>
        </w:tc>
      </w:tr>
      <w:tr>
        <w:trPr/>
        <w:tc>
          <w:tcPr>
            <w:tcW w:w="1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35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Fully applicable.</w:t>
            </w:r>
            <w:r>
              <w:rPr/>
              <w:t xml:space="preserve"> The organisation designs the product; this is its core process.</w:t>
            </w:r>
          </w:p>
        </w:tc>
      </w:tr>
      <w:tr>
        <w:trPr/>
        <w:tc>
          <w:tcPr>
            <w:tcW w:w="1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f) Validation of processes whose output cannot be verified by subsequent monitoring</w:t>
            </w:r>
          </w:p>
        </w:tc>
        <w:tc>
          <w:tcPr>
            <w:tcW w:w="35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Applicable.</w:t>
            </w:r>
            <w:r>
              <w:rPr/>
              <w:t xml:space="preserve"> The output of a generative model cannot be exhaustively verified; this is precisely why the golden evaluation, the grounding gate and the abstention behaviour exist. See SOP-07.</w:t>
            </w:r>
          </w:p>
        </w:tc>
      </w:tr>
    </w:tbl>
    <w:p>
      <w:pPr>
        <w:pStyle w:val="BodyText"/>
        <w:bidi w:val="0"/>
        <w:jc w:val="left"/>
        <w:rPr/>
      </w:pPr>
      <w:r>
        <w:rPr/>
        <w:t>No requirement is excluded on the grounds that it is inconvenient.</w:t>
      </w:r>
    </w:p>
    <w:p>
      <w:pPr>
        <w:pStyle w:val="Heading2"/>
        <w:bidi w:val="0"/>
        <w:jc w:val="left"/>
        <w:rPr/>
      </w:pPr>
      <w:r>
        <w:rPr/>
        <w:t>5. The QMS and its processes (4.4)</w:t>
      </w:r>
    </w:p>
    <w:p>
      <w:pPr>
        <w:pStyle w:val="BodyText"/>
        <w:bidi w:val="0"/>
        <w:jc w:val="left"/>
        <w:rPr/>
      </w:pPr>
      <w:r>
        <w:rPr/>
        <w:t>The management system is organised as six processes. Each has an owning procedure.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Customer ───────▶│ P1  Understand and agree requirements    │  SOP-04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requirement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P2  Design and develop                   │  SOP-05, SOP-03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P3  Verify and validate                  │  SOP-07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P4  Control configuration and release    │  SOP-06, SOP-08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P5  Deploy, operate and protect data     │  SOP-08, SOP-11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P6  Measure, correct and improve         │  SOP-10, SOP-12,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  </w:t>
      </w:r>
      <w:r>
        <w:rPr>
          <w:rStyle w:val="SourceText"/>
        </w:rPr>
        <w:t>SOP-13, SOP-14,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Supporting throughout: SOP-01 documented information · SOP-02 context and risk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</w:t>
      </w:r>
      <w:r>
        <w:rPr>
          <w:rStyle w:val="SourceText"/>
        </w:rPr>
        <w:t>SOP-09 external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</w:t>
      </w:r>
      <w:r>
        <w:rPr>
          <w:rStyle w:val="SourceText"/>
        </w:rPr>
        <w:t>Improvement feeds back to P1–P5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1261"/>
        <w:gridCol w:w="1441"/>
        <w:gridCol w:w="1261"/>
      </w:tblGrid>
      <w:tr>
        <w:trPr>
          <w:tblHeader w:val="true"/>
        </w:trPr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Process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Inputs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Outputs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Principal measures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 Requirements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need, sector obligations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Agreed, reviewed requirements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reviewed before commitment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 Design &amp; develop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Requirements, architecture, risk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Source, design documentation, rationale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reviews held; rationale recorded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 Verify &amp; validate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software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and evaluation results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Unit pass rate; golden evaluation score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 Configure &amp; release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change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images, release record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source → image → instance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 Deploy &amp; protect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Release, customer environment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instance; protected customer data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state; data-handling conformity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 Measure &amp; improve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of the above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Nonconformities, actions, reviews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closure with effectiveness verified</w:t>
            </w:r>
          </w:p>
        </w:tc>
      </w:tr>
    </w:tbl>
    <w:p>
      <w:pPr>
        <w:pStyle w:val="Heading2"/>
        <w:bidi w:val="0"/>
        <w:jc w:val="left"/>
        <w:rPr/>
      </w:pPr>
      <w:r>
        <w:rPr/>
        <w:t>6. Leadership (5)</w:t>
      </w:r>
    </w:p>
    <w:p>
      <w:pPr>
        <w:pStyle w:val="BodyText"/>
        <w:bidi w:val="0"/>
        <w:jc w:val="left"/>
        <w:rPr/>
      </w:pPr>
      <w:r>
        <w:rPr/>
        <w:t>Top management (the Managing Director) is accountable for the effectiveness of the QMS, establishes the quality policy (</w:t>
      </w:r>
      <w:r>
        <w:rPr>
          <w:rStyle w:val="Strong"/>
        </w:rPr>
        <w:t>QP-01</w:t>
      </w:r>
      <w:r>
        <w:rPr/>
        <w:t>) and objectives (</w:t>
      </w:r>
      <w:r>
        <w:rPr>
          <w:rStyle w:val="Strong"/>
        </w:rPr>
        <w:t>QO-01</w:t>
      </w:r>
      <w:r>
        <w:rPr/>
        <w:t>), ensures the customer focus expressed in QP-01 §2, and provides resources. In an organisation of one, the practical meaning of clause 5 is that the same person who writes the code also owns the decision to stop and fix it — and that the management system exists to make that decision evidence-based rather than discretionary.</w:t>
      </w:r>
    </w:p>
    <w:p>
      <w:pPr>
        <w:pStyle w:val="Heading3"/>
        <w:bidi w:val="0"/>
        <w:jc w:val="left"/>
        <w:rPr/>
      </w:pPr>
      <w:r>
        <w:rPr/>
        <w:t>6.1 Roles, responsibilities and authorities (5.3)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67"/>
        <w:gridCol w:w="2722"/>
        <w:gridCol w:w="1105"/>
      </w:tblGrid>
      <w:tr>
        <w:trPr>
          <w:tblHeader w:val="true"/>
        </w:trPr>
        <w:tc>
          <w:tcPr>
            <w:tcW w:w="136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Role</w:t>
            </w:r>
          </w:p>
        </w:tc>
        <w:tc>
          <w:tcPr>
            <w:tcW w:w="272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Responsibility</w:t>
            </w:r>
          </w:p>
        </w:tc>
        <w:tc>
          <w:tcPr>
            <w:tcW w:w="110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Currently held by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27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effectiveness; policy and objectives; release authorisation; management review; approval of QMS documents</w:t>
            </w:r>
          </w:p>
        </w:tc>
        <w:tc>
          <w:tcPr>
            <w:tcW w:w="11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7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Design, development, verification, configuration and release execution</w:t>
            </w:r>
          </w:p>
        </w:tc>
        <w:tc>
          <w:tcPr>
            <w:tcW w:w="11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</w:t>
            </w:r>
          </w:p>
        </w:tc>
        <w:tc>
          <w:tcPr>
            <w:tcW w:w="27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Maintaining the QMS, the registers, the audit programme and corrective actions</w:t>
            </w:r>
          </w:p>
        </w:tc>
        <w:tc>
          <w:tcPr>
            <w:tcW w:w="11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27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 per SOP-11</w:t>
            </w:r>
          </w:p>
        </w:tc>
        <w:tc>
          <w:tcPr>
            <w:tcW w:w="11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>Where one person holds several of these roles, the roles remain distinct in the records: an entry is made against the role that is acting. Where a role's independence is required and cannot be provided internally — notably internal audit (9.2.2 c) — SOP-13 §4 sets out how it is obtained.</w:t>
      </w:r>
    </w:p>
    <w:p>
      <w:pPr>
        <w:pStyle w:val="Heading2"/>
        <w:bidi w:val="0"/>
        <w:jc w:val="left"/>
        <w:rPr/>
      </w:pPr>
      <w:r>
        <w:rPr/>
        <w:t>7. Planning (6)</w:t>
      </w:r>
    </w:p>
    <w:p>
      <w:pPr>
        <w:pStyle w:val="BodyText"/>
        <w:bidi w:val="0"/>
        <w:jc w:val="left"/>
        <w:rPr/>
      </w:pPr>
      <w:r>
        <w:rPr/>
        <w:t xml:space="preserve">Risks and opportunities are identified and treated under </w:t>
      </w:r>
      <w:r>
        <w:rPr>
          <w:rStyle w:val="Strong"/>
        </w:rPr>
        <w:t>SOP-02</w:t>
      </w:r>
      <w:r>
        <w:rPr/>
        <w:t xml:space="preserve"> and tracked in </w:t>
      </w:r>
      <w:r>
        <w:rPr>
          <w:rStyle w:val="Strong"/>
        </w:rPr>
        <w:t>REG-03 Risk Register</w:t>
      </w:r>
      <w:r>
        <w:rPr/>
        <w:t xml:space="preserve">. Quality objectives, their measures and targets are in </w:t>
      </w:r>
      <w:r>
        <w:rPr>
          <w:rStyle w:val="Strong"/>
        </w:rPr>
        <w:t>QO-01</w:t>
      </w:r>
      <w:r>
        <w:rPr/>
        <w:t xml:space="preserve">. Changes to the QMS and to the product are planned under </w:t>
      </w:r>
      <w:r>
        <w:rPr>
          <w:rStyle w:val="Strong"/>
        </w:rPr>
        <w:t>SOP-02 §7</w:t>
      </w:r>
      <w:r>
        <w:rPr/>
        <w:t xml:space="preserve"> and </w:t>
      </w:r>
      <w:r>
        <w:rPr>
          <w:rStyle w:val="Strong"/>
        </w:rPr>
        <w:t>SOP-06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8. Support (7)</w:t>
      </w:r>
    </w:p>
    <w:p>
      <w:pPr>
        <w:pStyle w:val="BodyText"/>
        <w:bidi w:val="0"/>
        <w:jc w:val="left"/>
        <w:rPr/>
      </w:pPr>
      <w:r>
        <w:rPr/>
        <w:t xml:space="preserve">Resources, competence, awareness and organisational knowledge are addressed in </w:t>
      </w:r>
      <w:r>
        <w:rPr>
          <w:rStyle w:val="Strong"/>
        </w:rPr>
        <w:t>SOP-03</w:t>
      </w:r>
      <w:r>
        <w:rPr/>
        <w:t xml:space="preserve">. Documented information is controlled under </w:t>
      </w:r>
      <w:r>
        <w:rPr>
          <w:rStyle w:val="Strong"/>
        </w:rPr>
        <w:t>SOP-01</w:t>
      </w:r>
      <w:r>
        <w:rPr/>
        <w:t>, using the product's Git repository as the control mechanism.</w:t>
      </w:r>
    </w:p>
    <w:p>
      <w:pPr>
        <w:pStyle w:val="Heading2"/>
        <w:bidi w:val="0"/>
        <w:jc w:val="left"/>
        <w:rPr/>
      </w:pPr>
      <w:r>
        <w:rPr/>
        <w:t>9. Operation (8)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28"/>
        <w:gridCol w:w="1466"/>
      </w:tblGrid>
      <w:tr>
        <w:trPr>
          <w:tblHeader w:val="true"/>
        </w:trPr>
        <w:tc>
          <w:tcPr>
            <w:tcW w:w="372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Procedure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 Operational planning and control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§5, SOP-06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 Requirements for products and services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 Externally provided processes, products and services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Control of provision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 Identification and traceability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 Property belonging to customers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 Preservation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SOP-11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 Post-delivery activities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SOP-10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 Control of changes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 Release of products and services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37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 Control of nonconforming outputs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10. Performance evaluation (9)</w:t>
      </w:r>
    </w:p>
    <w:p>
      <w:pPr>
        <w:pStyle w:val="BodyText"/>
        <w:bidi w:val="0"/>
        <w:jc w:val="left"/>
        <w:rPr/>
      </w:pPr>
      <w:r>
        <w:rPr/>
        <w:t xml:space="preserve">Monitoring, measurement, analysis and evaluation: </w:t>
      </w:r>
      <w:r>
        <w:rPr>
          <w:rStyle w:val="Strong"/>
        </w:rPr>
        <w:t>SOP-12</w:t>
      </w:r>
      <w:r>
        <w:rPr/>
        <w:t xml:space="preserve">. Customer satisfaction: </w:t>
      </w:r>
      <w:r>
        <w:rPr>
          <w:rStyle w:val="Strong"/>
        </w:rPr>
        <w:t>SOP-04</w:t>
      </w:r>
      <w:r>
        <w:rPr/>
        <w:t xml:space="preserve">. Internal audit: </w:t>
      </w:r>
      <w:r>
        <w:rPr>
          <w:rStyle w:val="Strong"/>
        </w:rPr>
        <w:t>SOP-13</w:t>
      </w:r>
      <w:r>
        <w:rPr/>
        <w:t xml:space="preserve">. Management review: </w:t>
      </w:r>
      <w:r>
        <w:rPr>
          <w:rStyle w:val="Strong"/>
        </w:rPr>
        <w:t>SOP-15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11. Improvement (10)</w:t>
      </w:r>
    </w:p>
    <w:p>
      <w:pPr>
        <w:pStyle w:val="BodyText"/>
        <w:bidi w:val="0"/>
        <w:jc w:val="left"/>
        <w:rPr/>
      </w:pPr>
      <w:r>
        <w:rPr/>
        <w:t xml:space="preserve">Nonconformity and corrective action: </w:t>
      </w:r>
      <w:r>
        <w:rPr>
          <w:rStyle w:val="Strong"/>
        </w:rPr>
        <w:t>SOP-14</w:t>
      </w:r>
      <w:r>
        <w:rPr/>
        <w:t xml:space="preserve">, logged in </w:t>
      </w:r>
      <w:r>
        <w:rPr>
          <w:rStyle w:val="Strong"/>
        </w:rPr>
        <w:t>REG-04</w:t>
      </w:r>
      <w:r>
        <w:rPr/>
        <w:t>. Continual improvement is an output of management review (SOP-15) and of the analysis in SOP-12.</w:t>
      </w:r>
    </w:p>
    <w:p>
      <w:pPr>
        <w:pStyle w:val="Heading2"/>
        <w:bidi w:val="0"/>
        <w:jc w:val="left"/>
        <w:rPr/>
      </w:pPr>
      <w:r>
        <w:rPr/>
        <w:t>12. Structure of the documented information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docs/qms/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README.md                       index and how to use the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ADOPTION_GUIDE.md               what must happen for this QMS to become real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QM-01_Quality_Manual.md         this document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QP-01_Quality_Policy.md         5.2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QO-01_Quality_Objectives.md     6.2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ISO9001_Clause_Mapping.md       clause → document → evidence in this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ISO9001_Gap_Analysis.md         honest readiness assessment and roadmap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procedures/   SOP-01 …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forms/        FRM-00 … FRM-10   blank templates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registers/    REG-01 … REG-06   live records</w:t>
      </w:r>
    </w:p>
    <w:p>
      <w:pPr>
        <w:pStyle w:val="Heading2"/>
        <w:bidi w:val="0"/>
        <w:jc w:val="left"/>
        <w:rPr/>
      </w:pPr>
      <w:r>
        <w:rPr/>
        <w:t>13. Implementation status — read this before relying on anything above</w:t>
      </w:r>
    </w:p>
    <w:p>
      <w:pPr>
        <w:pStyle w:val="Heading3"/>
        <w:bidi w:val="0"/>
        <w:jc w:val="left"/>
        <w:rPr/>
      </w:pPr>
      <w:r>
        <w:rPr/>
        <w:t>13.1 What is real today</w:t>
      </w:r>
    </w:p>
    <w:p>
      <w:pPr>
        <w:pStyle w:val="BodyText"/>
        <w:bidi w:val="0"/>
        <w:jc w:val="left"/>
        <w:rPr/>
      </w:pPr>
      <w:r>
        <w:rPr/>
        <w:t>The engineering evidence base is genuinely strong for an organisation this size, and the QMS is built on it rather than beside it: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 </w:t>
      </w:r>
      <w:r>
        <w:rPr>
          <w:rStyle w:val="Strong"/>
        </w:rPr>
        <w:t>52-question golden evaluation suite</w:t>
      </w:r>
      <w:r>
        <w:rPr/>
        <w:t xml:space="preserve"> with a binary pass gate (</w:t>
      </w:r>
      <w:r>
        <w:rPr>
          <w:rStyle w:val="SourceText"/>
        </w:rPr>
        <w:t>eval/run_eval.py:281</w:t>
      </w:r>
      <w:r>
        <w:rPr/>
        <w:t xml:space="preserve">) and version-controlled question sets in </w:t>
      </w:r>
      <w:r>
        <w:rPr>
          <w:rStyle w:val="SourceText"/>
        </w:rPr>
        <w:t>eval/golden/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78 unit test functions</w:t>
      </w:r>
      <w:r>
        <w:rPr/>
        <w:t xml:space="preserve"> across </w:t>
      </w:r>
      <w:r>
        <w:rPr>
          <w:rStyle w:val="SourceText"/>
        </w:rPr>
        <w:t>backend/tests/</w:t>
      </w:r>
      <w:r>
        <w:rPr/>
        <w:t xml:space="preserve"> (40) and </w:t>
      </w:r>
      <w:r>
        <w:rPr>
          <w:rStyle w:val="SourceText"/>
        </w:rPr>
        <w:t>voice/tests/</w:t>
      </w:r>
      <w:r>
        <w:rPr/>
        <w:t xml:space="preserve"> (38).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 </w:t>
      </w:r>
      <w:r>
        <w:rPr>
          <w:rStyle w:val="Strong"/>
        </w:rPr>
        <w:t>second, independent evaluation harness</w:t>
      </w:r>
      <w:r>
        <w:rPr/>
        <w:t xml:space="preserve"> (</w:t>
      </w:r>
      <w:r>
        <w:rPr>
          <w:rStyle w:val="SourceText"/>
        </w:rPr>
        <w:t>eval/paper/</w:t>
      </w:r>
      <w:r>
        <w:rPr/>
        <w:t xml:space="preserve">, experiments E1–E10) whose results file records findings that </w:t>
      </w:r>
      <w:r>
        <w:rPr>
          <w:rStyle w:val="Emphasis"/>
        </w:rPr>
        <w:t>contradict the organisation's own published paper</w:t>
      </w:r>
      <w:r>
        <w:rPr/>
        <w:t xml:space="preserve">, and marks an experiment </w:t>
      </w:r>
      <w:r>
        <w:rPr>
          <w:rStyle w:val="SourceText"/>
        </w:rPr>
        <w:t>"not_run"</w:t>
      </w:r>
      <w:r>
        <w:rPr/>
        <w:t xml:space="preserve"> rather than estimating 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Substantial design rationale and verification evidence in commit bodies</w:t>
      </w:r>
      <w:r>
        <w:rPr/>
        <w:t xml:space="preserve"> — several commits record the defect, the root cause, the fix and the verification performed.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Architecture documentation</w:t>
      </w:r>
      <w:r>
        <w:rPr/>
        <w:t xml:space="preserve"> in </w:t>
      </w:r>
      <w:r>
        <w:rPr>
          <w:rStyle w:val="SourceText"/>
        </w:rPr>
        <w:t>docs/</w:t>
      </w:r>
      <w:r>
        <w:rPr/>
        <w:t xml:space="preserve"> covering retrieval, chat, voice, transcription and deployment, plus a 1,257-line user manual.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Self-recovering service design</w:t>
      </w:r>
      <w:r>
        <w:rPr/>
        <w:t xml:space="preserve"> — health endpoints, a CUDA-fault watchdog and restart policies. </w:t>
      </w:r>
    </w:p>
    <w:p>
      <w:pPr>
        <w:pStyle w:val="Heading3"/>
        <w:bidi w:val="0"/>
        <w:jc w:val="left"/>
        <w:rPr/>
      </w:pPr>
      <w:r>
        <w:rPr/>
        <w:t>13.2 What is not real yet</w:t>
      </w:r>
    </w:p>
    <w:p>
      <w:pPr>
        <w:pStyle w:val="BodyText"/>
        <w:bidi w:val="0"/>
        <w:jc w:val="left"/>
        <w:rPr/>
      </w:pPr>
      <w:r>
        <w:rPr/>
        <w:t xml:space="preserve">This QMS was authored on </w:t>
      </w:r>
      <w:r>
        <w:rPr>
          <w:rStyle w:val="SourceText"/>
        </w:rPr>
        <w:t>2026-09-21</w:t>
      </w:r>
      <w:r>
        <w:rPr/>
        <w:t>. At revision 1.0: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document in this set has been approved.</w:t>
      </w:r>
      <w:r>
        <w:rPr/>
        <w:t xml:space="preserve"> All are </w:t>
      </w:r>
      <w:r>
        <w:rPr>
          <w:rStyle w:val="SourceText"/>
        </w:rPr>
        <w:t>DRAFT — not yet approved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internal audit has been conducted</w:t>
      </w:r>
      <w:r>
        <w:rPr/>
        <w:t xml:space="preserve"> (SOP-13).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management review has been held</w:t>
      </w:r>
      <w:r>
        <w:rPr/>
        <w:t xml:space="preserve"> (SOP-15).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quality objective has a baseline measurement recorded against it</w:t>
      </w:r>
      <w:r>
        <w:rPr/>
        <w:t xml:space="preserve"> beyond the historical evaluation figures cited in QO-01, which predate HEAD.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registers are seeded from documented historical evidence where that evidence genuinely exists, and are otherwise empty. Seeded entries are marked as retrospective. </w:t>
      </w:r>
    </w:p>
    <w:p>
      <w:pPr>
        <w:pStyle w:val="Heading3"/>
        <w:bidi w:val="0"/>
        <w:jc w:val="left"/>
        <w:rPr/>
      </w:pPr>
      <w:r>
        <w:rPr/>
        <w:t>13.3 Constraints an auditor will raise immediately</w:t>
      </w:r>
    </w:p>
    <w:tbl>
      <w:tblPr>
        <w:tblW w:w="51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9"/>
        <w:gridCol w:w="888"/>
        <w:gridCol w:w="1947"/>
      </w:tblGrid>
      <w:tr>
        <w:trPr>
          <w:tblHeader w:val="true"/>
        </w:trPr>
        <w:tc>
          <w:tcPr>
            <w:tcW w:w="235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Constraint</w:t>
            </w:r>
          </w:p>
        </w:tc>
        <w:tc>
          <w:tcPr>
            <w:tcW w:w="88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 affected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 it is addressed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person in the organisation; internal audit cannot be impartial</w:t>
            </w:r>
          </w:p>
        </w:tc>
        <w:tc>
          <w:tcPr>
            <w:tcW w:w="8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9.2.2 c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 §4 — treated as an open nonconformity of the QMS, with options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CI, so no verification is automatically enforced</w:t>
            </w:r>
          </w:p>
        </w:tc>
        <w:tc>
          <w:tcPr>
            <w:tcW w:w="8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8.6, 9.1.1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Gap Analysis G-02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versioning: no tags, no changelog, no build identifier; a running instance cannot be traced to a source revision</w:t>
            </w:r>
          </w:p>
        </w:tc>
        <w:tc>
          <w:tcPr>
            <w:tcW w:w="8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8.5.2, 8.6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SOP-06, SOP-08, Gap Analysis G-01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No backup procedure for </w:t>
            </w:r>
            <w:r>
              <w:rPr>
                <w:rStyle w:val="SourceText"/>
              </w:rPr>
              <w:t>echomind_data</w:t>
            </w:r>
            <w:r>
              <w:rPr/>
              <w:t>, the only volume holding customer data</w:t>
            </w:r>
          </w:p>
        </w:tc>
        <w:tc>
          <w:tcPr>
            <w:tcW w:w="8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SOP-11, Gap Analysis G-03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data-retention policy</w:t>
            </w:r>
          </w:p>
        </w:tc>
        <w:tc>
          <w:tcPr>
            <w:tcW w:w="8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SOP-11, Gap Analysis G-04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LICENSE/NOTICE, model-licence inventory or SBOM</w:t>
            </w:r>
          </w:p>
        </w:tc>
        <w:tc>
          <w:tcPr>
            <w:tcW w:w="8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SOP-09, Gap Analysis G-05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Application authentication off by default; WebSocket endpoints outside the auth middleware</w:t>
            </w:r>
          </w:p>
        </w:tc>
        <w:tc>
          <w:tcPr>
            <w:tcW w:w="8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SOP-11, Gap Analysis G-06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These are stated here, in the manual, deliberately. An auditor will find them within an hour; a management system that has already found them, owns them and has dated actions against them is in a materially better position than one that has not.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