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SOP-03 — Competence, Training and Awareness</w:t>
      </w:r>
    </w:p>
    <w:tbl>
      <w:tblPr>
        <w:tblW w:w="4622" w:type="dxa"/>
        <w:jc w:val="left"/>
        <w:tblInd w:w="0" w:type="dxa"/>
        <w:tblLayout w:type="fixed"/>
        <w:tblCellMar>
          <w:top w:w="28" w:type="dxa"/>
          <w:left w:w="28" w:type="dxa"/>
          <w:bottom w:w="28" w:type="dxa"/>
          <w:right w:w="28" w:type="dxa"/>
        </w:tblCellMar>
      </w:tblPr>
      <w:tblGrid>
        <w:gridCol w:w="1951"/>
        <w:gridCol w:w="2671"/>
      </w:tblGrid>
      <w:tr>
        <w:trPr>
          <w:tblHeader w:val="true"/>
        </w:trPr>
        <w:tc>
          <w:tcPr>
            <w:tcW w:w="1951" w:type="dxa"/>
            <w:tcBorders/>
            <w:vAlign w:val="center"/>
          </w:tcPr>
          <w:p>
            <w:pPr>
              <w:pStyle w:val="TableHeading"/>
              <w:suppressLineNumbers/>
              <w:shd w:fill="1F3A5F" w:val="clear"/>
              <w:bidi w:val="0"/>
              <w:spacing w:before="0" w:after="283"/>
              <w:jc w:val="center"/>
              <w:rPr/>
            </w:pPr>
            <w:r>
              <w:rPr/>
              <w:t>Field</w:t>
            </w:r>
          </w:p>
        </w:tc>
        <w:tc>
          <w:tcPr>
            <w:tcW w:w="2671" w:type="dxa"/>
            <w:tcBorders/>
            <w:vAlign w:val="center"/>
          </w:tcPr>
          <w:p>
            <w:pPr>
              <w:pStyle w:val="TableHeading"/>
              <w:suppressLineNumbers/>
              <w:shd w:fill="1F3A5F" w:val="clear"/>
              <w:bidi w:val="0"/>
              <w:spacing w:before="0" w:after="283"/>
              <w:jc w:val="center"/>
              <w:rPr/>
            </w:pPr>
            <w:r>
              <w:rPr/>
              <w:t>Value</w:t>
            </w:r>
          </w:p>
        </w:tc>
      </w:tr>
      <w:tr>
        <w:trPr/>
        <w:tc>
          <w:tcPr>
            <w:tcW w:w="1951" w:type="dxa"/>
            <w:tcBorders/>
            <w:vAlign w:val="center"/>
          </w:tcPr>
          <w:p>
            <w:pPr>
              <w:pStyle w:val="TableContents"/>
              <w:bidi w:val="0"/>
              <w:spacing w:before="0" w:after="283"/>
              <w:jc w:val="left"/>
              <w:rPr/>
            </w:pPr>
            <w:r>
              <w:rPr/>
              <w:t>Document ID</w:t>
            </w:r>
          </w:p>
        </w:tc>
        <w:tc>
          <w:tcPr>
            <w:tcW w:w="2671" w:type="dxa"/>
            <w:tcBorders/>
            <w:vAlign w:val="center"/>
          </w:tcPr>
          <w:p>
            <w:pPr>
              <w:pStyle w:val="TableContents"/>
              <w:bidi w:val="0"/>
              <w:spacing w:before="0" w:after="283"/>
              <w:jc w:val="left"/>
              <w:rPr/>
            </w:pPr>
            <w:r>
              <w:rPr/>
              <w:t>SOP-03</w:t>
            </w:r>
          </w:p>
        </w:tc>
      </w:tr>
      <w:tr>
        <w:trPr/>
        <w:tc>
          <w:tcPr>
            <w:tcW w:w="1951" w:type="dxa"/>
            <w:tcBorders/>
            <w:vAlign w:val="center"/>
          </w:tcPr>
          <w:p>
            <w:pPr>
              <w:pStyle w:val="TableContents"/>
              <w:bidi w:val="0"/>
              <w:spacing w:before="0" w:after="283"/>
              <w:jc w:val="left"/>
              <w:rPr/>
            </w:pPr>
            <w:r>
              <w:rPr/>
              <w:t>Revision</w:t>
            </w:r>
          </w:p>
        </w:tc>
        <w:tc>
          <w:tcPr>
            <w:tcW w:w="2671" w:type="dxa"/>
            <w:tcBorders/>
            <w:vAlign w:val="center"/>
          </w:tcPr>
          <w:p>
            <w:pPr>
              <w:pStyle w:val="TableContents"/>
              <w:bidi w:val="0"/>
              <w:spacing w:before="0" w:after="283"/>
              <w:jc w:val="left"/>
              <w:rPr/>
            </w:pPr>
            <w:r>
              <w:rPr/>
              <w:t>1.0</w:t>
            </w:r>
          </w:p>
        </w:tc>
      </w:tr>
      <w:tr>
        <w:trPr/>
        <w:tc>
          <w:tcPr>
            <w:tcW w:w="1951" w:type="dxa"/>
            <w:tcBorders/>
            <w:vAlign w:val="center"/>
          </w:tcPr>
          <w:p>
            <w:pPr>
              <w:pStyle w:val="TableContents"/>
              <w:bidi w:val="0"/>
              <w:spacing w:before="0" w:after="283"/>
              <w:jc w:val="left"/>
              <w:rPr/>
            </w:pPr>
            <w:r>
              <w:rPr/>
              <w:t>Status</w:t>
            </w:r>
          </w:p>
        </w:tc>
        <w:tc>
          <w:tcPr>
            <w:tcW w:w="2671" w:type="dxa"/>
            <w:tcBorders/>
            <w:vAlign w:val="center"/>
          </w:tcPr>
          <w:p>
            <w:pPr>
              <w:pStyle w:val="TableContents"/>
              <w:bidi w:val="0"/>
              <w:spacing w:before="0" w:after="283"/>
              <w:jc w:val="left"/>
              <w:rPr/>
            </w:pPr>
            <w:r>
              <w:rPr>
                <w:rStyle w:val="Strong"/>
              </w:rPr>
              <w:t>DRAFT — not yet approved</w:t>
            </w:r>
          </w:p>
        </w:tc>
      </w:tr>
      <w:tr>
        <w:trPr/>
        <w:tc>
          <w:tcPr>
            <w:tcW w:w="1951" w:type="dxa"/>
            <w:tcBorders/>
            <w:vAlign w:val="center"/>
          </w:tcPr>
          <w:p>
            <w:pPr>
              <w:pStyle w:val="TableContents"/>
              <w:bidi w:val="0"/>
              <w:spacing w:before="0" w:after="283"/>
              <w:jc w:val="left"/>
              <w:rPr/>
            </w:pPr>
            <w:r>
              <w:rPr/>
              <w:t>Owner</w:t>
            </w:r>
          </w:p>
        </w:tc>
        <w:tc>
          <w:tcPr>
            <w:tcW w:w="2671" w:type="dxa"/>
            <w:tcBorders/>
            <w:vAlign w:val="center"/>
          </w:tcPr>
          <w:p>
            <w:pPr>
              <w:pStyle w:val="TableContents"/>
              <w:bidi w:val="0"/>
              <w:spacing w:before="0" w:after="283"/>
              <w:jc w:val="left"/>
              <w:rPr/>
            </w:pPr>
            <w:r>
              <w:rPr/>
              <w:t>Managing Director</w:t>
            </w:r>
          </w:p>
        </w:tc>
      </w:tr>
      <w:tr>
        <w:trPr/>
        <w:tc>
          <w:tcPr>
            <w:tcW w:w="1951" w:type="dxa"/>
            <w:tcBorders/>
            <w:vAlign w:val="center"/>
          </w:tcPr>
          <w:p>
            <w:pPr>
              <w:pStyle w:val="TableContents"/>
              <w:bidi w:val="0"/>
              <w:spacing w:before="0" w:after="283"/>
              <w:jc w:val="left"/>
              <w:rPr/>
            </w:pPr>
            <w:r>
              <w:rPr/>
              <w:t>Approved by</w:t>
            </w:r>
          </w:p>
        </w:tc>
        <w:tc>
          <w:tcPr>
            <w:tcW w:w="2671" w:type="dxa"/>
            <w:tcBorders/>
            <w:vAlign w:val="center"/>
          </w:tcPr>
          <w:p>
            <w:pPr>
              <w:pStyle w:val="TableContents"/>
              <w:bidi w:val="0"/>
              <w:spacing w:before="0" w:after="283"/>
              <w:jc w:val="left"/>
              <w:rPr/>
            </w:pPr>
            <w:r>
              <w:rPr>
                <w:rStyle w:val="SourceText"/>
              </w:rPr>
              <w:t>________________________</w:t>
            </w:r>
          </w:p>
        </w:tc>
      </w:tr>
      <w:tr>
        <w:trPr/>
        <w:tc>
          <w:tcPr>
            <w:tcW w:w="1951" w:type="dxa"/>
            <w:tcBorders/>
            <w:vAlign w:val="center"/>
          </w:tcPr>
          <w:p>
            <w:pPr>
              <w:pStyle w:val="TableContents"/>
              <w:bidi w:val="0"/>
              <w:spacing w:before="0" w:after="283"/>
              <w:jc w:val="left"/>
              <w:rPr/>
            </w:pPr>
            <w:r>
              <w:rPr/>
              <w:t>Approval date</w:t>
            </w:r>
          </w:p>
        </w:tc>
        <w:tc>
          <w:tcPr>
            <w:tcW w:w="2671" w:type="dxa"/>
            <w:tcBorders/>
            <w:vAlign w:val="center"/>
          </w:tcPr>
          <w:p>
            <w:pPr>
              <w:pStyle w:val="TableContents"/>
              <w:bidi w:val="0"/>
              <w:spacing w:before="0" w:after="283"/>
              <w:jc w:val="left"/>
              <w:rPr/>
            </w:pPr>
            <w:r>
              <w:rPr>
                <w:rStyle w:val="SourceText"/>
              </w:rPr>
              <w:t>____ / ____ / ________</w:t>
            </w:r>
          </w:p>
        </w:tc>
      </w:tr>
      <w:tr>
        <w:trPr/>
        <w:tc>
          <w:tcPr>
            <w:tcW w:w="1951" w:type="dxa"/>
            <w:tcBorders/>
            <w:vAlign w:val="center"/>
          </w:tcPr>
          <w:p>
            <w:pPr>
              <w:pStyle w:val="TableContents"/>
              <w:bidi w:val="0"/>
              <w:spacing w:before="0" w:after="283"/>
              <w:jc w:val="left"/>
              <w:rPr/>
            </w:pPr>
            <w:r>
              <w:rPr/>
              <w:t>ISO 9001:2015 clauses</w:t>
            </w:r>
          </w:p>
        </w:tc>
        <w:tc>
          <w:tcPr>
            <w:tcW w:w="2671" w:type="dxa"/>
            <w:tcBorders/>
            <w:vAlign w:val="center"/>
          </w:tcPr>
          <w:p>
            <w:pPr>
              <w:pStyle w:val="TableContents"/>
              <w:bidi w:val="0"/>
              <w:spacing w:before="0" w:after="283"/>
              <w:jc w:val="left"/>
              <w:rPr/>
            </w:pPr>
            <w:r>
              <w:rPr/>
              <w:t>7.1.2, 7.1.6, 7.2, 7.3</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how Ajace AI determines the competence needed to build, deploy and support EchoMind Enterprise, how that competence is acquired and evidenced, how people are made aware of the quality policy and of their own contribution to it, and how the organisational knowledge the work depends on is retained.</w:t>
      </w:r>
    </w:p>
    <w:p>
      <w:pPr>
        <w:pStyle w:val="Heading2"/>
        <w:bidi w:val="0"/>
        <w:jc w:val="left"/>
        <w:rPr/>
      </w:pPr>
      <w:r>
        <w:rPr/>
        <w:t>2. Scope</w:t>
      </w:r>
    </w:p>
    <w:p>
      <w:pPr>
        <w:pStyle w:val="BodyText"/>
        <w:bidi w:val="0"/>
        <w:jc w:val="left"/>
        <w:rPr/>
      </w:pPr>
      <w:r>
        <w:rPr/>
        <w:t>Everyone working under Ajace AI's control, whether employed, contracted or working as the owner of the business. It covers the competence needed for the work as it is actually performed today, not a hypothetical future team.</w:t>
      </w:r>
    </w:p>
    <w:p>
      <w:pPr>
        <w:pStyle w:val="BodyText"/>
        <w:bidi w:val="0"/>
        <w:jc w:val="left"/>
        <w:rPr/>
      </w:pPr>
      <w:r>
        <w:rPr/>
        <w:t xml:space="preserve">It also covers a resource that is unusual but material here: </w:t>
      </w:r>
      <w:r>
        <w:rPr>
          <w:rStyle w:val="Strong"/>
        </w:rPr>
        <w:t>AI coding assistance</w:t>
      </w:r>
      <w:r>
        <w:rPr/>
        <w:t>. A significant share of the code in this repository was produced with AI assistance and is declared as such. That is treated in §7 as a competence and control question, because that is what it is.</w:t>
      </w:r>
    </w:p>
    <w:p>
      <w:pPr>
        <w:pStyle w:val="Heading2"/>
        <w:bidi w:val="0"/>
        <w:jc w:val="left"/>
        <w:rPr/>
      </w:pPr>
      <w:r>
        <w:rPr/>
        <w:t>3. Responsibilities</w:t>
      </w:r>
    </w:p>
    <w:tbl>
      <w:tblPr>
        <w:tblW w:w="11339" w:type="dxa"/>
        <w:jc w:val="left"/>
        <w:tblInd w:w="0" w:type="dxa"/>
        <w:tblLayout w:type="fixed"/>
        <w:tblCellMar>
          <w:top w:w="28" w:type="dxa"/>
          <w:left w:w="28" w:type="dxa"/>
          <w:bottom w:w="28" w:type="dxa"/>
          <w:right w:w="28" w:type="dxa"/>
        </w:tblCellMar>
      </w:tblPr>
      <w:tblGrid>
        <w:gridCol w:w="1721"/>
        <w:gridCol w:w="9618"/>
      </w:tblGrid>
      <w:tr>
        <w:trPr>
          <w:tblHeader w:val="true"/>
        </w:trPr>
        <w:tc>
          <w:tcPr>
            <w:tcW w:w="1721" w:type="dxa"/>
            <w:tcBorders/>
            <w:vAlign w:val="center"/>
          </w:tcPr>
          <w:p>
            <w:pPr>
              <w:pStyle w:val="TableHeading"/>
              <w:suppressLineNumbers/>
              <w:shd w:fill="1F3A5F" w:val="clear"/>
              <w:bidi w:val="0"/>
              <w:spacing w:before="0" w:after="283"/>
              <w:jc w:val="center"/>
              <w:rPr/>
            </w:pPr>
            <w:r>
              <w:rPr/>
              <w:t>Role</w:t>
            </w:r>
          </w:p>
        </w:tc>
        <w:tc>
          <w:tcPr>
            <w:tcW w:w="9618" w:type="dxa"/>
            <w:tcBorders/>
            <w:vAlign w:val="center"/>
          </w:tcPr>
          <w:p>
            <w:pPr>
              <w:pStyle w:val="TableHeading"/>
              <w:suppressLineNumbers/>
              <w:shd w:fill="1F3A5F" w:val="clear"/>
              <w:bidi w:val="0"/>
              <w:spacing w:before="0" w:after="283"/>
              <w:jc w:val="center"/>
              <w:rPr/>
            </w:pPr>
            <w:r>
              <w:rPr/>
              <w:t>Responsibility</w:t>
            </w:r>
          </w:p>
        </w:tc>
      </w:tr>
      <w:tr>
        <w:trPr/>
        <w:tc>
          <w:tcPr>
            <w:tcW w:w="1721" w:type="dxa"/>
            <w:tcBorders/>
            <w:vAlign w:val="center"/>
          </w:tcPr>
          <w:p>
            <w:pPr>
              <w:pStyle w:val="TableContents"/>
              <w:bidi w:val="0"/>
              <w:spacing w:before="0" w:after="283"/>
              <w:jc w:val="left"/>
              <w:rPr/>
            </w:pPr>
            <w:r>
              <w:rPr/>
              <w:t>Managing Director</w:t>
            </w:r>
          </w:p>
        </w:tc>
        <w:tc>
          <w:tcPr>
            <w:tcW w:w="9618" w:type="dxa"/>
            <w:tcBorders/>
            <w:vAlign w:val="center"/>
          </w:tcPr>
          <w:p>
            <w:pPr>
              <w:pStyle w:val="TableContents"/>
              <w:bidi w:val="0"/>
              <w:spacing w:before="0" w:after="283"/>
              <w:jc w:val="left"/>
              <w:rPr/>
            </w:pPr>
            <w:r>
              <w:rPr/>
              <w:t>Owns this procedure. Determines the competence each role requires. Decides how any shortfall is closed. Maintains the competence matrix and the training record.</w:t>
            </w:r>
          </w:p>
        </w:tc>
      </w:tr>
      <w:tr>
        <w:trPr/>
        <w:tc>
          <w:tcPr>
            <w:tcW w:w="1721" w:type="dxa"/>
            <w:tcBorders/>
            <w:vAlign w:val="center"/>
          </w:tcPr>
          <w:p>
            <w:pPr>
              <w:pStyle w:val="TableContents"/>
              <w:bidi w:val="0"/>
              <w:spacing w:before="0" w:after="283"/>
              <w:jc w:val="left"/>
              <w:rPr/>
            </w:pPr>
            <w:r>
              <w:rPr/>
              <w:t>Lead Engineer</w:t>
            </w:r>
          </w:p>
        </w:tc>
        <w:tc>
          <w:tcPr>
            <w:tcW w:w="9618" w:type="dxa"/>
            <w:tcBorders/>
            <w:vAlign w:val="center"/>
          </w:tcPr>
          <w:p>
            <w:pPr>
              <w:pStyle w:val="TableContents"/>
              <w:bidi w:val="0"/>
              <w:spacing w:before="0" w:after="283"/>
              <w:jc w:val="left"/>
              <w:rPr/>
            </w:pPr>
            <w:r>
              <w:rPr/>
              <w:t xml:space="preserve">Identifies competence needed by new or changed technology before it enters the product. Keeps the engineering documentation in </w:t>
            </w:r>
            <w:r>
              <w:rPr>
                <w:rStyle w:val="SourceText"/>
              </w:rPr>
              <w:t>docs/</w:t>
            </w:r>
            <w:r>
              <w:rPr/>
              <w:t xml:space="preserve"> current enough to serve as handover material.</w:t>
            </w:r>
          </w:p>
        </w:tc>
      </w:tr>
      <w:tr>
        <w:trPr/>
        <w:tc>
          <w:tcPr>
            <w:tcW w:w="1721" w:type="dxa"/>
            <w:tcBorders/>
            <w:vAlign w:val="center"/>
          </w:tcPr>
          <w:p>
            <w:pPr>
              <w:pStyle w:val="TableContents"/>
              <w:bidi w:val="0"/>
              <w:spacing w:before="0" w:after="283"/>
              <w:jc w:val="left"/>
              <w:rPr/>
            </w:pPr>
            <w:r>
              <w:rPr/>
              <w:t>Anyone contributing code</w:t>
            </w:r>
          </w:p>
        </w:tc>
        <w:tc>
          <w:tcPr>
            <w:tcW w:w="9618" w:type="dxa"/>
            <w:tcBorders/>
            <w:vAlign w:val="center"/>
          </w:tcPr>
          <w:p>
            <w:pPr>
              <w:pStyle w:val="TableContents"/>
              <w:bidi w:val="0"/>
              <w:spacing w:before="0" w:after="283"/>
              <w:jc w:val="left"/>
              <w:rPr/>
            </w:pPr>
            <w:r>
              <w:rPr/>
              <w:t>Works within their competence, says so when a task is outside it, and reviews and verifies every change they author — including any part generated by an AI assistant.</w:t>
            </w:r>
          </w:p>
        </w:tc>
      </w:tr>
    </w:tbl>
    <w:p>
      <w:pPr>
        <w:pStyle w:val="BodyText"/>
        <w:bidi w:val="0"/>
        <w:jc w:val="left"/>
        <w:rPr/>
      </w:pPr>
      <w:r>
        <w:rPr/>
        <w:t>Ajace AI currently has one person holding all three roles. Everything in this procedure must therefore be read as self-administered, which is a weakness stated in §8 rather than hidden.</w:t>
      </w:r>
    </w:p>
    <w:p>
      <w:pPr>
        <w:pStyle w:val="Heading2"/>
        <w:bidi w:val="0"/>
        <w:jc w:val="left"/>
        <w:rPr/>
      </w:pPr>
      <w:r>
        <w:rPr/>
        <w:t>4. Roles and the competence they require (7.1.2, 7.2)</w:t>
      </w:r>
    </w:p>
    <w:tbl>
      <w:tblPr>
        <w:tblW w:w="11339" w:type="dxa"/>
        <w:jc w:val="left"/>
        <w:tblInd w:w="0" w:type="dxa"/>
        <w:tblLayout w:type="fixed"/>
        <w:tblCellMar>
          <w:top w:w="28" w:type="dxa"/>
          <w:left w:w="28" w:type="dxa"/>
          <w:bottom w:w="28" w:type="dxa"/>
          <w:right w:w="28" w:type="dxa"/>
        </w:tblCellMar>
      </w:tblPr>
      <w:tblGrid>
        <w:gridCol w:w="1330"/>
        <w:gridCol w:w="3146"/>
        <w:gridCol w:w="6863"/>
      </w:tblGrid>
      <w:tr>
        <w:trPr>
          <w:tblHeader w:val="true"/>
        </w:trPr>
        <w:tc>
          <w:tcPr>
            <w:tcW w:w="1330" w:type="dxa"/>
            <w:tcBorders/>
            <w:vAlign w:val="center"/>
          </w:tcPr>
          <w:p>
            <w:pPr>
              <w:pStyle w:val="TableHeading"/>
              <w:suppressLineNumbers/>
              <w:shd w:fill="1F3A5F" w:val="clear"/>
              <w:bidi w:val="0"/>
              <w:spacing w:before="0" w:after="283"/>
              <w:jc w:val="center"/>
              <w:rPr/>
            </w:pPr>
            <w:r>
              <w:rPr/>
              <w:t>Role</w:t>
            </w:r>
          </w:p>
        </w:tc>
        <w:tc>
          <w:tcPr>
            <w:tcW w:w="3146" w:type="dxa"/>
            <w:tcBorders/>
            <w:vAlign w:val="center"/>
          </w:tcPr>
          <w:p>
            <w:pPr>
              <w:pStyle w:val="TableHeading"/>
              <w:suppressLineNumbers/>
              <w:shd w:fill="1F3A5F" w:val="clear"/>
              <w:bidi w:val="0"/>
              <w:spacing w:before="0" w:after="283"/>
              <w:jc w:val="center"/>
              <w:rPr/>
            </w:pPr>
            <w:r>
              <w:rPr/>
              <w:t>Purpose of the role</w:t>
            </w:r>
          </w:p>
        </w:tc>
        <w:tc>
          <w:tcPr>
            <w:tcW w:w="6863" w:type="dxa"/>
            <w:tcBorders/>
            <w:vAlign w:val="center"/>
          </w:tcPr>
          <w:p>
            <w:pPr>
              <w:pStyle w:val="TableHeading"/>
              <w:suppressLineNumbers/>
              <w:shd w:fill="1F3A5F" w:val="clear"/>
              <w:bidi w:val="0"/>
              <w:spacing w:before="0" w:after="283"/>
              <w:jc w:val="center"/>
              <w:rPr/>
            </w:pPr>
            <w:r>
              <w:rPr/>
              <w:t>Competence required</w:t>
            </w:r>
          </w:p>
        </w:tc>
      </w:tr>
      <w:tr>
        <w:trPr/>
        <w:tc>
          <w:tcPr>
            <w:tcW w:w="1330" w:type="dxa"/>
            <w:tcBorders/>
            <w:vAlign w:val="center"/>
          </w:tcPr>
          <w:p>
            <w:pPr>
              <w:pStyle w:val="TableContents"/>
              <w:bidi w:val="0"/>
              <w:spacing w:before="0" w:after="283"/>
              <w:jc w:val="left"/>
              <w:rPr/>
            </w:pPr>
            <w:r>
              <w:rPr/>
              <w:t>Managing Director</w:t>
            </w:r>
          </w:p>
        </w:tc>
        <w:tc>
          <w:tcPr>
            <w:tcW w:w="3146" w:type="dxa"/>
            <w:tcBorders/>
            <w:vAlign w:val="center"/>
          </w:tcPr>
          <w:p>
            <w:pPr>
              <w:pStyle w:val="TableContents"/>
              <w:bidi w:val="0"/>
              <w:spacing w:before="0" w:after="283"/>
              <w:jc w:val="left"/>
              <w:rPr/>
            </w:pPr>
            <w:r>
              <w:rPr/>
              <w:t>Top management. Sets the quality policy, accepts risk, commits to customer requirements, approves releases.</w:t>
            </w:r>
          </w:p>
        </w:tc>
        <w:tc>
          <w:tcPr>
            <w:tcW w:w="6863" w:type="dxa"/>
            <w:tcBorders/>
            <w:vAlign w:val="center"/>
          </w:tcPr>
          <w:p>
            <w:pPr>
              <w:pStyle w:val="TableContents"/>
              <w:bidi w:val="0"/>
              <w:spacing w:before="0" w:after="283"/>
              <w:jc w:val="left"/>
              <w:rPr/>
            </w:pPr>
            <w:r>
              <w:rPr/>
              <w:t>Understanding of ISO 9001:2015 as it applies to a software supplier; the data-protection and record-keeping obligations of the customers' regulated sectors; commercial judgement on what may be committed to a customer; ability to judge when a technical claim is supportable by evidence.</w:t>
            </w:r>
          </w:p>
        </w:tc>
      </w:tr>
      <w:tr>
        <w:trPr/>
        <w:tc>
          <w:tcPr>
            <w:tcW w:w="1330" w:type="dxa"/>
            <w:tcBorders/>
            <w:vAlign w:val="center"/>
          </w:tcPr>
          <w:p>
            <w:pPr>
              <w:pStyle w:val="TableContents"/>
              <w:bidi w:val="0"/>
              <w:spacing w:before="0" w:after="283"/>
              <w:jc w:val="left"/>
              <w:rPr/>
            </w:pPr>
            <w:r>
              <w:rPr/>
              <w:t>Lead Engineer</w:t>
            </w:r>
          </w:p>
        </w:tc>
        <w:tc>
          <w:tcPr>
            <w:tcW w:w="3146" w:type="dxa"/>
            <w:tcBorders/>
            <w:vAlign w:val="center"/>
          </w:tcPr>
          <w:p>
            <w:pPr>
              <w:pStyle w:val="TableContents"/>
              <w:bidi w:val="0"/>
              <w:spacing w:before="0" w:after="283"/>
              <w:jc w:val="left"/>
              <w:rPr/>
            </w:pPr>
            <w:r>
              <w:rPr/>
              <w:t>Designs, builds, verifies and deploys the platform.</w:t>
            </w:r>
          </w:p>
        </w:tc>
        <w:tc>
          <w:tcPr>
            <w:tcW w:w="6863" w:type="dxa"/>
            <w:tcBorders/>
            <w:vAlign w:val="center"/>
          </w:tcPr>
          <w:p>
            <w:pPr>
              <w:pStyle w:val="TableContents"/>
              <w:bidi w:val="0"/>
              <w:spacing w:before="0" w:after="283"/>
              <w:jc w:val="left"/>
              <w:rPr/>
            </w:pPr>
            <w:r>
              <w:rPr/>
              <w:t>The eight specialised areas in the table below.</w:t>
            </w:r>
          </w:p>
        </w:tc>
      </w:tr>
      <w:tr>
        <w:trPr/>
        <w:tc>
          <w:tcPr>
            <w:tcW w:w="1330" w:type="dxa"/>
            <w:tcBorders/>
            <w:vAlign w:val="center"/>
          </w:tcPr>
          <w:p>
            <w:pPr>
              <w:pStyle w:val="TableContents"/>
              <w:bidi w:val="0"/>
              <w:spacing w:before="0" w:after="283"/>
              <w:jc w:val="left"/>
              <w:rPr/>
            </w:pPr>
            <w:r>
              <w:rPr/>
              <w:t>Anyone contributing code</w:t>
            </w:r>
          </w:p>
        </w:tc>
        <w:tc>
          <w:tcPr>
            <w:tcW w:w="3146" w:type="dxa"/>
            <w:tcBorders/>
            <w:vAlign w:val="center"/>
          </w:tcPr>
          <w:p>
            <w:pPr>
              <w:pStyle w:val="TableContents"/>
              <w:bidi w:val="0"/>
              <w:spacing w:before="0" w:after="283"/>
              <w:jc w:val="left"/>
              <w:rPr/>
            </w:pPr>
            <w:r>
              <w:rPr/>
              <w:t>Any person, employed or contracted, who authors a change to the repository.</w:t>
            </w:r>
          </w:p>
        </w:tc>
        <w:tc>
          <w:tcPr>
            <w:tcW w:w="6863" w:type="dxa"/>
            <w:tcBorders/>
            <w:vAlign w:val="center"/>
          </w:tcPr>
          <w:p>
            <w:pPr>
              <w:pStyle w:val="TableContents"/>
              <w:bidi w:val="0"/>
              <w:spacing w:before="0" w:after="283"/>
              <w:jc w:val="left"/>
              <w:rPr/>
            </w:pPr>
            <w:r>
              <w:rPr/>
              <w:t>The quality policy (</w:t>
            </w:r>
            <w:r>
              <w:rPr>
                <w:rStyle w:val="SourceText"/>
              </w:rPr>
              <w:t>QP-01</w:t>
            </w:r>
            <w:r>
              <w:rPr/>
              <w:t xml:space="preserve">); this procedure; </w:t>
            </w:r>
            <w:r>
              <w:rPr>
                <w:rStyle w:val="SourceText"/>
              </w:rPr>
              <w:t>SOP-01</w:t>
            </w:r>
            <w:r>
              <w:rPr/>
              <w:t xml:space="preserve"> (what must never be committed); </w:t>
            </w:r>
            <w:r>
              <w:rPr>
                <w:rStyle w:val="SourceText"/>
              </w:rPr>
              <w:t>SOP-05</w:t>
            </w:r>
            <w:r>
              <w:rPr/>
              <w:t xml:space="preserve"> §7 (verification of AI-assisted output); competence in the specific area being changed.</w:t>
            </w:r>
          </w:p>
        </w:tc>
      </w:tr>
    </w:tbl>
    <w:p>
      <w:pPr>
        <w:pStyle w:val="BodyText"/>
        <w:bidi w:val="0"/>
        <w:jc w:val="left"/>
        <w:rPr/>
      </w:pPr>
      <w:r>
        <w:rPr>
          <w:rStyle w:val="Strong"/>
        </w:rPr>
        <w:t>Specialised competence areas the work demonstrably requires.</w:t>
      </w:r>
      <w:r>
        <w:rPr/>
        <w:t xml:space="preserve"> Each is listed with the part of the repository that demands it, so that the requirement is verifiable rather than asserted.</w:t>
      </w:r>
    </w:p>
    <w:tbl>
      <w:tblPr>
        <w:tblW w:w="11339" w:type="dxa"/>
        <w:jc w:val="left"/>
        <w:tblInd w:w="0" w:type="dxa"/>
        <w:tblLayout w:type="fixed"/>
        <w:tblCellMar>
          <w:top w:w="28" w:type="dxa"/>
          <w:left w:w="28" w:type="dxa"/>
          <w:bottom w:w="28" w:type="dxa"/>
          <w:right w:w="28" w:type="dxa"/>
        </w:tblCellMar>
      </w:tblPr>
      <w:tblGrid>
        <w:gridCol w:w="3302"/>
        <w:gridCol w:w="8037"/>
      </w:tblGrid>
      <w:tr>
        <w:trPr>
          <w:tblHeader w:val="true"/>
        </w:trPr>
        <w:tc>
          <w:tcPr>
            <w:tcW w:w="3302" w:type="dxa"/>
            <w:tcBorders/>
            <w:vAlign w:val="center"/>
          </w:tcPr>
          <w:p>
            <w:pPr>
              <w:pStyle w:val="TableHeading"/>
              <w:suppressLineNumbers/>
              <w:shd w:fill="1F3A5F" w:val="clear"/>
              <w:bidi w:val="0"/>
              <w:spacing w:before="0" w:after="283"/>
              <w:jc w:val="center"/>
              <w:rPr/>
            </w:pPr>
            <w:r>
              <w:rPr/>
              <w:t>Competence area</w:t>
            </w:r>
          </w:p>
        </w:tc>
        <w:tc>
          <w:tcPr>
            <w:tcW w:w="8037" w:type="dxa"/>
            <w:tcBorders/>
            <w:vAlign w:val="center"/>
          </w:tcPr>
          <w:p>
            <w:pPr>
              <w:pStyle w:val="TableHeading"/>
              <w:suppressLineNumbers/>
              <w:shd w:fill="1F3A5F" w:val="clear"/>
              <w:bidi w:val="0"/>
              <w:spacing w:before="0" w:after="283"/>
              <w:jc w:val="center"/>
              <w:rPr/>
            </w:pPr>
            <w:r>
              <w:rPr/>
              <w:t>Where the work demands it</w:t>
            </w:r>
          </w:p>
        </w:tc>
      </w:tr>
      <w:tr>
        <w:trPr/>
        <w:tc>
          <w:tcPr>
            <w:tcW w:w="3302" w:type="dxa"/>
            <w:tcBorders/>
            <w:vAlign w:val="center"/>
          </w:tcPr>
          <w:p>
            <w:pPr>
              <w:pStyle w:val="TableContents"/>
              <w:bidi w:val="0"/>
              <w:spacing w:before="0" w:after="283"/>
              <w:jc w:val="left"/>
              <w:rPr/>
            </w:pPr>
            <w:r>
              <w:rPr/>
              <w:t>Python and FastAPI service development</w:t>
            </w:r>
          </w:p>
        </w:tc>
        <w:tc>
          <w:tcPr>
            <w:tcW w:w="8037" w:type="dxa"/>
            <w:tcBorders/>
            <w:vAlign w:val="center"/>
          </w:tcPr>
          <w:p>
            <w:pPr>
              <w:pStyle w:val="TableContents"/>
              <w:bidi w:val="0"/>
              <w:spacing w:before="0" w:after="283"/>
              <w:jc w:val="left"/>
              <w:rPr/>
            </w:pPr>
            <w:r>
              <w:rPr>
                <w:rStyle w:val="SourceText"/>
              </w:rPr>
              <w:t>backend/app/main.py</w:t>
            </w:r>
            <w:r>
              <w:rPr/>
              <w:t xml:space="preserve">, </w:t>
            </w:r>
            <w:r>
              <w:rPr>
                <w:rStyle w:val="SourceText"/>
              </w:rPr>
              <w:t>backend/app/rag/</w:t>
            </w:r>
            <w:r>
              <w:rPr/>
              <w:t xml:space="preserve">, </w:t>
            </w:r>
            <w:r>
              <w:rPr>
                <w:rStyle w:val="SourceText"/>
              </w:rPr>
              <w:t>backend/app/transcribe/</w:t>
            </w:r>
          </w:p>
        </w:tc>
      </w:tr>
      <w:tr>
        <w:trPr/>
        <w:tc>
          <w:tcPr>
            <w:tcW w:w="3302" w:type="dxa"/>
            <w:tcBorders/>
            <w:vAlign w:val="center"/>
          </w:tcPr>
          <w:p>
            <w:pPr>
              <w:pStyle w:val="TableContents"/>
              <w:bidi w:val="0"/>
              <w:spacing w:before="0" w:after="283"/>
              <w:jc w:val="left"/>
              <w:rPr/>
            </w:pPr>
            <w:r>
              <w:rPr/>
              <w:t>React and TypeScript front-end development</w:t>
            </w:r>
          </w:p>
        </w:tc>
        <w:tc>
          <w:tcPr>
            <w:tcW w:w="8037" w:type="dxa"/>
            <w:tcBorders/>
            <w:vAlign w:val="center"/>
          </w:tcPr>
          <w:p>
            <w:pPr>
              <w:pStyle w:val="TableContents"/>
              <w:bidi w:val="0"/>
              <w:spacing w:before="0" w:after="283"/>
              <w:jc w:val="left"/>
              <w:rPr/>
            </w:pPr>
            <w:r>
              <w:rPr>
                <w:rStyle w:val="SourceText"/>
              </w:rPr>
              <w:t>frontend/</w:t>
            </w:r>
          </w:p>
        </w:tc>
      </w:tr>
      <w:tr>
        <w:trPr/>
        <w:tc>
          <w:tcPr>
            <w:tcW w:w="3302" w:type="dxa"/>
            <w:tcBorders/>
            <w:vAlign w:val="center"/>
          </w:tcPr>
          <w:p>
            <w:pPr>
              <w:pStyle w:val="TableContents"/>
              <w:bidi w:val="0"/>
              <w:spacing w:before="0" w:after="283"/>
              <w:jc w:val="left"/>
              <w:rPr/>
            </w:pPr>
            <w:r>
              <w:rPr/>
              <w:t>Docker and Docker Compose, including GPU device plumbing</w:t>
            </w:r>
          </w:p>
        </w:tc>
        <w:tc>
          <w:tcPr>
            <w:tcW w:w="8037" w:type="dxa"/>
            <w:tcBorders/>
            <w:vAlign w:val="center"/>
          </w:tcPr>
          <w:p>
            <w:pPr>
              <w:pStyle w:val="TableContents"/>
              <w:bidi w:val="0"/>
              <w:spacing w:before="0" w:after="283"/>
              <w:jc w:val="left"/>
              <w:rPr/>
            </w:pPr>
            <w:r>
              <w:rPr>
                <w:rStyle w:val="SourceText"/>
              </w:rPr>
              <w:t>docker-compose.yml:41-47</w:t>
            </w:r>
            <w:r>
              <w:rPr/>
              <w:t xml:space="preserve"> and </w:t>
            </w:r>
            <w:r>
              <w:rPr>
                <w:rStyle w:val="SourceText"/>
              </w:rPr>
              <w:t>:108-113</w:t>
            </w:r>
            <w:r>
              <w:rPr/>
              <w:t xml:space="preserve">, which record that the </w:t>
            </w:r>
            <w:r>
              <w:rPr>
                <w:rStyle w:val="SourceText"/>
              </w:rPr>
              <w:t>deploy.resources.reservations.devices</w:t>
            </w:r>
            <w:r>
              <w:rPr/>
              <w:t xml:space="preserve"> form yields a broken NVML on GB10 and that </w:t>
            </w:r>
            <w:r>
              <w:rPr>
                <w:rStyle w:val="SourceText"/>
              </w:rPr>
              <w:t>gpus: all</w:t>
            </w:r>
            <w:r>
              <w:rPr/>
              <w:t xml:space="preserve"> must be used instead</w:t>
            </w:r>
          </w:p>
        </w:tc>
      </w:tr>
      <w:tr>
        <w:trPr/>
        <w:tc>
          <w:tcPr>
            <w:tcW w:w="3302" w:type="dxa"/>
            <w:tcBorders/>
            <w:vAlign w:val="center"/>
          </w:tcPr>
          <w:p>
            <w:pPr>
              <w:pStyle w:val="TableContents"/>
              <w:bidi w:val="0"/>
              <w:spacing w:before="0" w:after="283"/>
              <w:jc w:val="left"/>
              <w:rPr/>
            </w:pPr>
            <w:r>
              <w:rPr/>
              <w:t>NVIDIA GPU, CUDA driver and TensorRT-LLM serving</w:t>
            </w:r>
          </w:p>
        </w:tc>
        <w:tc>
          <w:tcPr>
            <w:tcW w:w="8037" w:type="dxa"/>
            <w:tcBorders/>
            <w:vAlign w:val="center"/>
          </w:tcPr>
          <w:p>
            <w:pPr>
              <w:pStyle w:val="TableContents"/>
              <w:bidi w:val="0"/>
              <w:spacing w:before="0" w:after="283"/>
              <w:jc w:val="left"/>
              <w:rPr/>
            </w:pPr>
            <w:r>
              <w:rPr>
                <w:rStyle w:val="SourceText"/>
              </w:rPr>
              <w:t>docker-compose.yml:5-11</w:t>
            </w:r>
            <w:r>
              <w:rPr/>
              <w:t xml:space="preserve"> (NVFP4 serving, the GB10 worker-spawn CUDA bug and the driver version that fixed it)</w:t>
            </w:r>
          </w:p>
        </w:tc>
      </w:tr>
      <w:tr>
        <w:trPr/>
        <w:tc>
          <w:tcPr>
            <w:tcW w:w="3302" w:type="dxa"/>
            <w:tcBorders/>
            <w:vAlign w:val="center"/>
          </w:tcPr>
          <w:p>
            <w:pPr>
              <w:pStyle w:val="TableContents"/>
              <w:bidi w:val="0"/>
              <w:spacing w:before="0" w:after="283"/>
              <w:jc w:val="left"/>
              <w:rPr/>
            </w:pPr>
            <w:r>
              <w:rPr/>
              <w:t>NeMo ASR (streaming and offline models)</w:t>
            </w:r>
          </w:p>
        </w:tc>
        <w:tc>
          <w:tcPr>
            <w:tcW w:w="8037" w:type="dxa"/>
            <w:tcBorders/>
            <w:vAlign w:val="center"/>
          </w:tcPr>
          <w:p>
            <w:pPr>
              <w:pStyle w:val="TableContents"/>
              <w:bidi w:val="0"/>
              <w:spacing w:before="0" w:after="283"/>
              <w:jc w:val="left"/>
              <w:rPr/>
            </w:pPr>
            <w:r>
              <w:rPr>
                <w:rStyle w:val="SourceText"/>
              </w:rPr>
              <w:t>backend/Dockerfile:19</w:t>
            </w:r>
            <w:r>
              <w:rPr/>
              <w:t xml:space="preserve">, </w:t>
            </w:r>
            <w:r>
              <w:rPr>
                <w:rStyle w:val="SourceText"/>
              </w:rPr>
              <w:t>voice/Dockerfile:18</w:t>
            </w:r>
            <w:r>
              <w:rPr/>
              <w:t xml:space="preserve">, </w:t>
            </w:r>
            <w:r>
              <w:rPr>
                <w:rStyle w:val="SourceText"/>
              </w:rPr>
              <w:t>docker-compose.yml:186-188</w:t>
            </w:r>
            <w:r>
              <w:rPr/>
              <w:t xml:space="preserve"> (Parakeet-TDT with its CUDA-graph decoder disabled to avoid an illegal memory access)</w:t>
            </w:r>
          </w:p>
        </w:tc>
      </w:tr>
      <w:tr>
        <w:trPr/>
        <w:tc>
          <w:tcPr>
            <w:tcW w:w="3302" w:type="dxa"/>
            <w:tcBorders/>
            <w:vAlign w:val="center"/>
          </w:tcPr>
          <w:p>
            <w:pPr>
              <w:pStyle w:val="TableContents"/>
              <w:bidi w:val="0"/>
              <w:spacing w:before="0" w:after="283"/>
              <w:jc w:val="left"/>
              <w:rPr/>
            </w:pPr>
            <w:r>
              <w:rPr/>
              <w:t>Retrieval and RAG engineering — chunking, hybrid retrieval, reranking, namespace isolation</w:t>
            </w:r>
          </w:p>
        </w:tc>
        <w:tc>
          <w:tcPr>
            <w:tcW w:w="8037" w:type="dxa"/>
            <w:tcBorders/>
            <w:vAlign w:val="center"/>
          </w:tcPr>
          <w:p>
            <w:pPr>
              <w:pStyle w:val="TableContents"/>
              <w:bidi w:val="0"/>
              <w:spacing w:before="0" w:after="283"/>
              <w:jc w:val="left"/>
              <w:rPr/>
            </w:pPr>
            <w:r>
              <w:rPr>
                <w:rStyle w:val="SourceText"/>
              </w:rPr>
              <w:t>docs/RAG_FLOW.md</w:t>
            </w:r>
            <w:r>
              <w:rPr/>
              <w:t xml:space="preserve"> (281 lines), </w:t>
            </w:r>
            <w:r>
              <w:rPr>
                <w:rStyle w:val="SourceText"/>
              </w:rPr>
              <w:t>docs/RAG_AND_CHUNKING_EXPLAINED.md</w:t>
            </w:r>
            <w:r>
              <w:rPr/>
              <w:t xml:space="preserve"> (315 lines), </w:t>
            </w:r>
            <w:r>
              <w:rPr>
                <w:rStyle w:val="SourceText"/>
              </w:rPr>
              <w:t>backend/app/rag/index.py:36</w:t>
            </w:r>
            <w:r>
              <w:rPr/>
              <w:t xml:space="preserve"> (</w:t>
            </w:r>
            <w:r>
              <w:rPr>
                <w:rStyle w:val="SourceText"/>
              </w:rPr>
              <w:t>_ns_ok</w:t>
            </w:r>
            <w:r>
              <w:rPr/>
              <w:t xml:space="preserve"> namespace predicate)</w:t>
            </w:r>
          </w:p>
        </w:tc>
      </w:tr>
      <w:tr>
        <w:trPr/>
        <w:tc>
          <w:tcPr>
            <w:tcW w:w="3302" w:type="dxa"/>
            <w:tcBorders/>
            <w:vAlign w:val="center"/>
          </w:tcPr>
          <w:p>
            <w:pPr>
              <w:pStyle w:val="TableContents"/>
              <w:bidi w:val="0"/>
              <w:spacing w:before="0" w:after="283"/>
              <w:jc w:val="left"/>
              <w:rPr/>
            </w:pPr>
            <w:r>
              <w:rPr/>
              <w:t>Prompt engineering, including injection resistance and abstention</w:t>
            </w:r>
          </w:p>
        </w:tc>
        <w:tc>
          <w:tcPr>
            <w:tcW w:w="8037" w:type="dxa"/>
            <w:tcBorders/>
            <w:vAlign w:val="center"/>
          </w:tcPr>
          <w:p>
            <w:pPr>
              <w:pStyle w:val="TableContents"/>
              <w:bidi w:val="0"/>
              <w:spacing w:before="0" w:after="283"/>
              <w:jc w:val="left"/>
              <w:rPr/>
            </w:pPr>
            <w:r>
              <w:rPr>
                <w:rStyle w:val="SourceText"/>
              </w:rPr>
              <w:t>backend/app/rag/advanced.py:74</w:t>
            </w:r>
            <w:r>
              <w:rPr/>
              <w:t xml:space="preserve"> (deterministic insufficient-context message, explicitly to prevent a hallucinated fallback), </w:t>
            </w:r>
            <w:r>
              <w:rPr>
                <w:rStyle w:val="SourceText"/>
              </w:rPr>
              <w:t>backend/tests/test_prompt_guards.py</w:t>
            </w:r>
          </w:p>
        </w:tc>
      </w:tr>
      <w:tr>
        <w:trPr/>
        <w:tc>
          <w:tcPr>
            <w:tcW w:w="3302" w:type="dxa"/>
            <w:tcBorders/>
            <w:vAlign w:val="center"/>
          </w:tcPr>
          <w:p>
            <w:pPr>
              <w:pStyle w:val="TableContents"/>
              <w:bidi w:val="0"/>
              <w:spacing w:before="0" w:after="283"/>
              <w:jc w:val="left"/>
              <w:rPr/>
            </w:pPr>
            <w:r>
              <w:rPr/>
              <w:t>Data protection for regulated sectors</w:t>
            </w:r>
          </w:p>
        </w:tc>
        <w:tc>
          <w:tcPr>
            <w:tcW w:w="8037" w:type="dxa"/>
            <w:tcBorders/>
            <w:vAlign w:val="center"/>
          </w:tcPr>
          <w:p>
            <w:pPr>
              <w:pStyle w:val="TableContents"/>
              <w:bidi w:val="0"/>
              <w:spacing w:before="0" w:after="283"/>
              <w:jc w:val="left"/>
              <w:rPr/>
            </w:pPr>
            <w:r>
              <w:rPr/>
              <w:t xml:space="preserve">The whole offline deployment model; </w:t>
            </w:r>
            <w:r>
              <w:rPr>
                <w:rStyle w:val="SourceText"/>
              </w:rPr>
              <w:t>docs/PUBLIC_DEPLOYMENT.md</w:t>
            </w:r>
            <w:r>
              <w:rPr/>
              <w:t xml:space="preserve">; </w:t>
            </w:r>
            <w:r>
              <w:rPr>
                <w:rStyle w:val="SourceText"/>
              </w:rPr>
              <w:t>SOP-11</w:t>
            </w:r>
          </w:p>
        </w:tc>
      </w:tr>
      <w:tr>
        <w:trPr/>
        <w:tc>
          <w:tcPr>
            <w:tcW w:w="3302" w:type="dxa"/>
            <w:tcBorders/>
            <w:vAlign w:val="center"/>
          </w:tcPr>
          <w:p>
            <w:pPr>
              <w:pStyle w:val="TableContents"/>
              <w:bidi w:val="0"/>
              <w:spacing w:before="0" w:after="283"/>
              <w:jc w:val="left"/>
              <w:rPr/>
            </w:pPr>
            <w:r>
              <w:rPr/>
              <w:t>Python dependency and supply-chain management</w:t>
            </w:r>
          </w:p>
        </w:tc>
        <w:tc>
          <w:tcPr>
            <w:tcW w:w="8037" w:type="dxa"/>
            <w:tcBorders/>
            <w:vAlign w:val="center"/>
          </w:tcPr>
          <w:p>
            <w:pPr>
              <w:pStyle w:val="TableContents"/>
              <w:bidi w:val="0"/>
              <w:spacing w:before="0" w:after="283"/>
              <w:jc w:val="left"/>
              <w:rPr/>
            </w:pPr>
            <w:r>
              <w:rPr>
                <w:rStyle w:val="SourceText"/>
              </w:rPr>
              <w:t>backend/Dockerfile:21-32</w:t>
            </w:r>
            <w:r>
              <w:rPr/>
              <w:t>, which records three separate cross-package conflicts and their resolutions</w:t>
            </w:r>
          </w:p>
        </w:tc>
      </w:tr>
    </w:tbl>
    <w:p>
      <w:pPr>
        <w:pStyle w:val="BodyText"/>
        <w:bidi w:val="0"/>
        <w:jc w:val="left"/>
        <w:rPr/>
      </w:pPr>
      <w:r>
        <w:rPr/>
        <w:t xml:space="preserve">Competence is judged against the work, not against a certificate. The question asked is: </w:t>
      </w:r>
      <w:r>
        <w:rPr>
          <w:rStyle w:val="Emphasis"/>
        </w:rPr>
        <w:t>can this person make a change in this area and leave behind evidence that it works?</w:t>
      </w:r>
    </w:p>
    <w:p>
      <w:pPr>
        <w:pStyle w:val="Heading2"/>
        <w:bidi w:val="0"/>
        <w:jc w:val="left"/>
        <w:rPr/>
      </w:pPr>
      <w:r>
        <w:rPr/>
        <w:t>5. Acquiring and evidencing competence (7.2)</w:t>
      </w:r>
    </w:p>
    <w:p>
      <w:pPr>
        <w:pStyle w:val="BodyText"/>
        <w:bidi w:val="0"/>
        <w:jc w:val="left"/>
        <w:rPr/>
      </w:pPr>
      <w:r>
        <w:rPr/>
        <w:t xml:space="preserve">Where a competence is needed and not held, it is acquired by one of the routes below, and the route is recorded in </w:t>
      </w:r>
      <w:r>
        <w:rPr>
          <w:rStyle w:val="SourceText"/>
        </w:rPr>
        <w:t>registers/REG-05_Competence_and_Training_Record.md</w:t>
      </w:r>
      <w:r>
        <w:rPr/>
        <w:t>.</w:t>
      </w:r>
    </w:p>
    <w:tbl>
      <w:tblPr>
        <w:tblW w:w="11339" w:type="dxa"/>
        <w:jc w:val="left"/>
        <w:tblInd w:w="0" w:type="dxa"/>
        <w:tblLayout w:type="fixed"/>
        <w:tblCellMar>
          <w:top w:w="28" w:type="dxa"/>
          <w:left w:w="28" w:type="dxa"/>
          <w:bottom w:w="28" w:type="dxa"/>
          <w:right w:w="28" w:type="dxa"/>
        </w:tblCellMar>
      </w:tblPr>
      <w:tblGrid>
        <w:gridCol w:w="2469"/>
        <w:gridCol w:w="4464"/>
        <w:gridCol w:w="4406"/>
      </w:tblGrid>
      <w:tr>
        <w:trPr>
          <w:tblHeader w:val="true"/>
        </w:trPr>
        <w:tc>
          <w:tcPr>
            <w:tcW w:w="2469" w:type="dxa"/>
            <w:tcBorders/>
            <w:vAlign w:val="center"/>
          </w:tcPr>
          <w:p>
            <w:pPr>
              <w:pStyle w:val="TableHeading"/>
              <w:suppressLineNumbers/>
              <w:shd w:fill="1F3A5F" w:val="clear"/>
              <w:bidi w:val="0"/>
              <w:spacing w:before="0" w:after="283"/>
              <w:jc w:val="center"/>
              <w:rPr/>
            </w:pPr>
            <w:r>
              <w:rPr/>
              <w:t>Route</w:t>
            </w:r>
          </w:p>
        </w:tc>
        <w:tc>
          <w:tcPr>
            <w:tcW w:w="4464" w:type="dxa"/>
            <w:tcBorders/>
            <w:vAlign w:val="center"/>
          </w:tcPr>
          <w:p>
            <w:pPr>
              <w:pStyle w:val="TableHeading"/>
              <w:suppressLineNumbers/>
              <w:shd w:fill="1F3A5F" w:val="clear"/>
              <w:bidi w:val="0"/>
              <w:spacing w:before="0" w:after="283"/>
              <w:jc w:val="center"/>
              <w:rPr/>
            </w:pPr>
            <w:r>
              <w:rPr/>
              <w:t>When it is appropriate</w:t>
            </w:r>
          </w:p>
        </w:tc>
        <w:tc>
          <w:tcPr>
            <w:tcW w:w="4406" w:type="dxa"/>
            <w:tcBorders/>
            <w:vAlign w:val="center"/>
          </w:tcPr>
          <w:p>
            <w:pPr>
              <w:pStyle w:val="TableHeading"/>
              <w:suppressLineNumbers/>
              <w:shd w:fill="1F3A5F" w:val="clear"/>
              <w:bidi w:val="0"/>
              <w:spacing w:before="0" w:after="283"/>
              <w:jc w:val="center"/>
              <w:rPr/>
            </w:pPr>
            <w:r>
              <w:rPr/>
              <w:t>Evidence it must leave</w:t>
            </w:r>
          </w:p>
        </w:tc>
      </w:tr>
      <w:tr>
        <w:trPr/>
        <w:tc>
          <w:tcPr>
            <w:tcW w:w="2469" w:type="dxa"/>
            <w:tcBorders/>
            <w:vAlign w:val="center"/>
          </w:tcPr>
          <w:p>
            <w:pPr>
              <w:pStyle w:val="TableContents"/>
              <w:bidi w:val="0"/>
              <w:spacing w:before="0" w:after="283"/>
              <w:jc w:val="left"/>
              <w:rPr/>
            </w:pPr>
            <w:r>
              <w:rPr/>
              <w:t>Self-directed study of primary documentation</w:t>
            </w:r>
          </w:p>
        </w:tc>
        <w:tc>
          <w:tcPr>
            <w:tcW w:w="4464" w:type="dxa"/>
            <w:tcBorders/>
            <w:vAlign w:val="center"/>
          </w:tcPr>
          <w:p>
            <w:pPr>
              <w:pStyle w:val="TableContents"/>
              <w:bidi w:val="0"/>
              <w:spacing w:before="0" w:after="283"/>
              <w:jc w:val="left"/>
              <w:rPr/>
            </w:pPr>
            <w:r>
              <w:rPr/>
              <w:t>New library, new model, new runtime</w:t>
            </w:r>
          </w:p>
        </w:tc>
        <w:tc>
          <w:tcPr>
            <w:tcW w:w="4406" w:type="dxa"/>
            <w:tcBorders/>
            <w:vAlign w:val="center"/>
          </w:tcPr>
          <w:p>
            <w:pPr>
              <w:pStyle w:val="TableContents"/>
              <w:bidi w:val="0"/>
              <w:spacing w:before="0" w:after="283"/>
              <w:jc w:val="left"/>
              <w:rPr/>
            </w:pPr>
            <w:r>
              <w:rPr/>
              <w:t>The change that follows it, with the rationale recorded in the commit body</w:t>
            </w:r>
          </w:p>
        </w:tc>
      </w:tr>
      <w:tr>
        <w:trPr/>
        <w:tc>
          <w:tcPr>
            <w:tcW w:w="2469" w:type="dxa"/>
            <w:tcBorders/>
            <w:vAlign w:val="center"/>
          </w:tcPr>
          <w:p>
            <w:pPr>
              <w:pStyle w:val="TableContents"/>
              <w:bidi w:val="0"/>
              <w:spacing w:before="0" w:after="283"/>
              <w:jc w:val="left"/>
              <w:rPr/>
            </w:pPr>
            <w:r>
              <w:rPr/>
              <w:t>Structured training or vendor course</w:t>
            </w:r>
          </w:p>
        </w:tc>
        <w:tc>
          <w:tcPr>
            <w:tcW w:w="4464" w:type="dxa"/>
            <w:tcBorders/>
            <w:vAlign w:val="center"/>
          </w:tcPr>
          <w:p>
            <w:pPr>
              <w:pStyle w:val="TableContents"/>
              <w:bidi w:val="0"/>
              <w:spacing w:before="0" w:after="283"/>
              <w:jc w:val="left"/>
              <w:rPr/>
            </w:pPr>
            <w:r>
              <w:rPr/>
              <w:t>Broad area with a safety or compliance edge — GPU platform administration, data protection law</w:t>
            </w:r>
          </w:p>
        </w:tc>
        <w:tc>
          <w:tcPr>
            <w:tcW w:w="4406" w:type="dxa"/>
            <w:tcBorders/>
            <w:vAlign w:val="center"/>
          </w:tcPr>
          <w:p>
            <w:pPr>
              <w:pStyle w:val="TableContents"/>
              <w:bidi w:val="0"/>
              <w:spacing w:before="0" w:after="283"/>
              <w:jc w:val="left"/>
              <w:rPr/>
            </w:pPr>
            <w:r>
              <w:rPr/>
              <w:t>Certificate or attendance record, referenced from the training record</w:t>
            </w:r>
          </w:p>
        </w:tc>
      </w:tr>
      <w:tr>
        <w:trPr/>
        <w:tc>
          <w:tcPr>
            <w:tcW w:w="2469" w:type="dxa"/>
            <w:tcBorders/>
            <w:vAlign w:val="center"/>
          </w:tcPr>
          <w:p>
            <w:pPr>
              <w:pStyle w:val="TableContents"/>
              <w:bidi w:val="0"/>
              <w:spacing w:before="0" w:after="283"/>
              <w:jc w:val="left"/>
              <w:rPr/>
            </w:pPr>
            <w:r>
              <w:rPr/>
              <w:t>Supervised or paired work</w:t>
            </w:r>
          </w:p>
        </w:tc>
        <w:tc>
          <w:tcPr>
            <w:tcW w:w="4464" w:type="dxa"/>
            <w:tcBorders/>
            <w:vAlign w:val="center"/>
          </w:tcPr>
          <w:p>
            <w:pPr>
              <w:pStyle w:val="TableContents"/>
              <w:bidi w:val="0"/>
              <w:spacing w:before="0" w:after="283"/>
              <w:jc w:val="left"/>
              <w:rPr/>
            </w:pPr>
            <w:r>
              <w:rPr/>
              <w:t>Once there is more than one person</w:t>
            </w:r>
          </w:p>
        </w:tc>
        <w:tc>
          <w:tcPr>
            <w:tcW w:w="4406" w:type="dxa"/>
            <w:tcBorders/>
            <w:vAlign w:val="center"/>
          </w:tcPr>
          <w:p>
            <w:pPr>
              <w:pStyle w:val="TableContents"/>
              <w:bidi w:val="0"/>
              <w:spacing w:before="0" w:after="283"/>
              <w:jc w:val="left"/>
              <w:rPr/>
            </w:pPr>
            <w:r>
              <w:rPr/>
              <w:t>Named supervisor and date in the training record</w:t>
            </w:r>
          </w:p>
        </w:tc>
      </w:tr>
      <w:tr>
        <w:trPr/>
        <w:tc>
          <w:tcPr>
            <w:tcW w:w="2469" w:type="dxa"/>
            <w:tcBorders/>
            <w:vAlign w:val="center"/>
          </w:tcPr>
          <w:p>
            <w:pPr>
              <w:pStyle w:val="TableContents"/>
              <w:bidi w:val="0"/>
              <w:spacing w:before="0" w:after="283"/>
              <w:jc w:val="left"/>
              <w:rPr/>
            </w:pPr>
            <w:r>
              <w:rPr/>
              <w:t>Proving it on a bounded piece of work</w:t>
            </w:r>
          </w:p>
        </w:tc>
        <w:tc>
          <w:tcPr>
            <w:tcW w:w="4464" w:type="dxa"/>
            <w:tcBorders/>
            <w:vAlign w:val="center"/>
          </w:tcPr>
          <w:p>
            <w:pPr>
              <w:pStyle w:val="TableContents"/>
              <w:bidi w:val="0"/>
              <w:spacing w:before="0" w:after="283"/>
              <w:jc w:val="left"/>
              <w:rPr/>
            </w:pPr>
            <w:r>
              <w:rPr/>
              <w:t>Any area where the result is measurable</w:t>
            </w:r>
          </w:p>
        </w:tc>
        <w:tc>
          <w:tcPr>
            <w:tcW w:w="4406" w:type="dxa"/>
            <w:tcBorders/>
            <w:vAlign w:val="center"/>
          </w:tcPr>
          <w:p>
            <w:pPr>
              <w:pStyle w:val="TableContents"/>
              <w:bidi w:val="0"/>
              <w:spacing w:before="0" w:after="283"/>
              <w:jc w:val="left"/>
              <w:rPr/>
            </w:pPr>
            <w:r>
              <w:rPr/>
              <w:t xml:space="preserve">The measurement — for example a golden-eval score before and after, as in commit </w:t>
            </w:r>
            <w:r>
              <w:rPr>
                <w:rStyle w:val="SourceText"/>
              </w:rPr>
              <w:t>4e27109</w:t>
            </w:r>
          </w:p>
        </w:tc>
      </w:tr>
    </w:tbl>
    <w:p>
      <w:pPr>
        <w:pStyle w:val="BodyText"/>
        <w:bidi w:val="0"/>
        <w:jc w:val="left"/>
        <w:rPr/>
      </w:pPr>
      <w:r>
        <w:rPr>
          <w:rStyle w:val="Strong"/>
        </w:rPr>
        <w:t>Evidence of competence for an existing contributor</w:t>
      </w:r>
      <w:r>
        <w:rPr/>
        <w:t xml:space="preserve"> is drawn from what the work itself left behind: commit bodies that state the mechanism of a defect and the verification of its fix, design documentation in </w:t>
      </w:r>
      <w:r>
        <w:rPr>
          <w:rStyle w:val="SourceText"/>
        </w:rPr>
        <w:t>docs/</w:t>
      </w:r>
      <w:r>
        <w:rPr/>
        <w:t xml:space="preserve">, and evaluation results in </w:t>
      </w:r>
      <w:r>
        <w:rPr>
          <w:rStyle w:val="SourceText"/>
        </w:rPr>
        <w:t>eval/reports/</w:t>
      </w:r>
      <w:r>
        <w:rPr/>
        <w:t xml:space="preserve"> and </w:t>
      </w:r>
      <w:r>
        <w:rPr>
          <w:rStyle w:val="SourceText"/>
        </w:rPr>
        <w:t>eval/paper/results/</w:t>
      </w:r>
      <w:r>
        <w:rPr/>
        <w:t>. This is legitimate evidence under 7.2(d) — "retain appropriate documented information as evidence of competence" — provided it is actually referenced. The competence matrix therefore cites it.</w:t>
      </w:r>
    </w:p>
    <w:p>
      <w:pPr>
        <w:pStyle w:val="BodyText"/>
        <w:bidi w:val="0"/>
        <w:jc w:val="left"/>
        <w:rPr/>
      </w:pPr>
      <w:r>
        <w:rPr/>
        <w:t>Effectiveness of any action taken to acquire competence is evaluated against the work produced afterwards, not against completion of the training.</w:t>
      </w:r>
    </w:p>
    <w:p>
      <w:pPr>
        <w:pStyle w:val="Heading2"/>
        <w:bidi w:val="0"/>
        <w:jc w:val="left"/>
        <w:rPr/>
      </w:pPr>
      <w:r>
        <w:rPr/>
        <w:t>6. Awareness (7.3)</w:t>
      </w:r>
    </w:p>
    <w:p>
      <w:pPr>
        <w:pStyle w:val="BodyText"/>
        <w:bidi w:val="0"/>
        <w:jc w:val="left"/>
        <w:rPr/>
      </w:pPr>
      <w:r>
        <w:rPr/>
        <w:t>Everyone working under Ajace AI's control is made aware of:</w:t>
      </w:r>
    </w:p>
    <w:tbl>
      <w:tblPr>
        <w:tblW w:w="11339" w:type="dxa"/>
        <w:jc w:val="left"/>
        <w:tblInd w:w="0" w:type="dxa"/>
        <w:tblLayout w:type="fixed"/>
        <w:tblCellMar>
          <w:top w:w="28" w:type="dxa"/>
          <w:left w:w="28" w:type="dxa"/>
          <w:bottom w:w="28" w:type="dxa"/>
          <w:right w:w="28" w:type="dxa"/>
        </w:tblCellMar>
      </w:tblPr>
      <w:tblGrid>
        <w:gridCol w:w="3127"/>
        <w:gridCol w:w="8212"/>
      </w:tblGrid>
      <w:tr>
        <w:trPr>
          <w:tblHeader w:val="true"/>
        </w:trPr>
        <w:tc>
          <w:tcPr>
            <w:tcW w:w="3127" w:type="dxa"/>
            <w:tcBorders/>
            <w:vAlign w:val="center"/>
          </w:tcPr>
          <w:p>
            <w:pPr>
              <w:pStyle w:val="TableHeading"/>
              <w:suppressLineNumbers/>
              <w:shd w:fill="1F3A5F" w:val="clear"/>
              <w:bidi w:val="0"/>
              <w:spacing w:before="0" w:after="283"/>
              <w:jc w:val="center"/>
              <w:rPr/>
            </w:pPr>
            <w:r>
              <w:rPr/>
              <w:t>ISO 7.3 requirement</w:t>
            </w:r>
          </w:p>
        </w:tc>
        <w:tc>
          <w:tcPr>
            <w:tcW w:w="8212" w:type="dxa"/>
            <w:tcBorders/>
            <w:vAlign w:val="center"/>
          </w:tcPr>
          <w:p>
            <w:pPr>
              <w:pStyle w:val="TableHeading"/>
              <w:suppressLineNumbers/>
              <w:shd w:fill="1F3A5F" w:val="clear"/>
              <w:bidi w:val="0"/>
              <w:spacing w:before="0" w:after="283"/>
              <w:jc w:val="center"/>
              <w:rPr/>
            </w:pPr>
            <w:r>
              <w:rPr/>
              <w:t>How it is met here</w:t>
            </w:r>
          </w:p>
        </w:tc>
      </w:tr>
      <w:tr>
        <w:trPr/>
        <w:tc>
          <w:tcPr>
            <w:tcW w:w="3127" w:type="dxa"/>
            <w:tcBorders/>
            <w:vAlign w:val="center"/>
          </w:tcPr>
          <w:p>
            <w:pPr>
              <w:pStyle w:val="TableContents"/>
              <w:bidi w:val="0"/>
              <w:spacing w:before="0" w:after="283"/>
              <w:jc w:val="left"/>
              <w:rPr/>
            </w:pPr>
            <w:r>
              <w:rPr/>
              <w:t>The quality policy</w:t>
            </w:r>
          </w:p>
        </w:tc>
        <w:tc>
          <w:tcPr>
            <w:tcW w:w="8212" w:type="dxa"/>
            <w:tcBorders/>
            <w:vAlign w:val="center"/>
          </w:tcPr>
          <w:p>
            <w:pPr>
              <w:pStyle w:val="TableContents"/>
              <w:bidi w:val="0"/>
              <w:spacing w:before="0" w:after="283"/>
              <w:jc w:val="left"/>
              <w:rPr/>
            </w:pPr>
            <w:r>
              <w:rPr>
                <w:rStyle w:val="SourceText"/>
              </w:rPr>
              <w:t>QP-01_Quality_Policy.md</w:t>
            </w:r>
            <w:r>
              <w:rPr/>
              <w:t xml:space="preserve"> is read at induction and on each revision. It is in the repository every contributor already clones.</w:t>
            </w:r>
          </w:p>
        </w:tc>
      </w:tr>
      <w:tr>
        <w:trPr/>
        <w:tc>
          <w:tcPr>
            <w:tcW w:w="3127" w:type="dxa"/>
            <w:tcBorders/>
            <w:vAlign w:val="center"/>
          </w:tcPr>
          <w:p>
            <w:pPr>
              <w:pStyle w:val="TableContents"/>
              <w:bidi w:val="0"/>
              <w:spacing w:before="0" w:after="283"/>
              <w:jc w:val="left"/>
              <w:rPr/>
            </w:pPr>
            <w:r>
              <w:rPr/>
              <w:t>Relevant quality objectives</w:t>
            </w:r>
          </w:p>
        </w:tc>
        <w:tc>
          <w:tcPr>
            <w:tcW w:w="8212" w:type="dxa"/>
            <w:tcBorders/>
            <w:vAlign w:val="center"/>
          </w:tcPr>
          <w:p>
            <w:pPr>
              <w:pStyle w:val="TableContents"/>
              <w:bidi w:val="0"/>
              <w:spacing w:before="0" w:after="283"/>
              <w:jc w:val="left"/>
              <w:rPr/>
            </w:pPr>
            <w:r>
              <w:rPr>
                <w:rStyle w:val="SourceText"/>
              </w:rPr>
              <w:t>QO-01</w:t>
            </w:r>
            <w:r>
              <w:rPr/>
              <w:t xml:space="preserve"> is reviewed with the person at induction and at each management review.</w:t>
            </w:r>
          </w:p>
        </w:tc>
      </w:tr>
      <w:tr>
        <w:trPr/>
        <w:tc>
          <w:tcPr>
            <w:tcW w:w="3127" w:type="dxa"/>
            <w:tcBorders/>
            <w:vAlign w:val="center"/>
          </w:tcPr>
          <w:p>
            <w:pPr>
              <w:pStyle w:val="TableContents"/>
              <w:bidi w:val="0"/>
              <w:spacing w:before="0" w:after="283"/>
              <w:jc w:val="left"/>
              <w:rPr/>
            </w:pPr>
            <w:r>
              <w:rPr/>
              <w:t>Their contribution to the effectiveness of the QMS, including the benefits of improved performance</w:t>
            </w:r>
          </w:p>
        </w:tc>
        <w:tc>
          <w:tcPr>
            <w:tcW w:w="8212" w:type="dxa"/>
            <w:tcBorders/>
            <w:vAlign w:val="center"/>
          </w:tcPr>
          <w:p>
            <w:pPr>
              <w:pStyle w:val="TableContents"/>
              <w:bidi w:val="0"/>
              <w:spacing w:before="0" w:after="283"/>
              <w:jc w:val="left"/>
              <w:rPr/>
            </w:pPr>
            <w:r>
              <w:rPr/>
              <w:t>Stated concretely, not abstractly: a grounded, attributed answer is the product; a confident ungrounded one is a defect of the highest severity (</w:t>
            </w:r>
            <w:r>
              <w:rPr>
                <w:rStyle w:val="SourceText"/>
              </w:rPr>
              <w:t>QP-01</w:t>
            </w:r>
            <w:r>
              <w:rPr/>
              <w:t xml:space="preserve"> §2.1). Every contributor is told which controls in the product exist to prevent that, and that they are responsible for not weakening them.</w:t>
            </w:r>
          </w:p>
        </w:tc>
      </w:tr>
      <w:tr>
        <w:trPr/>
        <w:tc>
          <w:tcPr>
            <w:tcW w:w="3127" w:type="dxa"/>
            <w:tcBorders/>
            <w:vAlign w:val="center"/>
          </w:tcPr>
          <w:p>
            <w:pPr>
              <w:pStyle w:val="TableContents"/>
              <w:bidi w:val="0"/>
              <w:spacing w:before="0" w:after="283"/>
              <w:jc w:val="left"/>
              <w:rPr/>
            </w:pPr>
            <w:r>
              <w:rPr/>
              <w:t>The implications of not conforming</w:t>
            </w:r>
          </w:p>
        </w:tc>
        <w:tc>
          <w:tcPr>
            <w:tcW w:w="8212" w:type="dxa"/>
            <w:tcBorders/>
            <w:vAlign w:val="center"/>
          </w:tcPr>
          <w:p>
            <w:pPr>
              <w:pStyle w:val="TableContents"/>
              <w:bidi w:val="0"/>
              <w:spacing w:before="0" w:after="283"/>
              <w:jc w:val="left"/>
              <w:rPr/>
            </w:pPr>
            <w:r>
              <w:rPr/>
              <w:t xml:space="preserve">Stated concretely: an isolation defect is a compliance event for a customer in a regulated sector, not only a bug. Commit </w:t>
            </w:r>
            <w:r>
              <w:rPr>
                <w:rStyle w:val="SourceText"/>
              </w:rPr>
              <w:t>4e27109</w:t>
            </w:r>
            <w:r>
              <w:rPr/>
              <w:t xml:space="preserve"> is used as the worked example — a single retrieval path that bypassed the namespace predicate returned 10 out of 10 out-of-namespace chunks under a tenant-scoped query.</w:t>
            </w:r>
          </w:p>
        </w:tc>
      </w:tr>
    </w:tbl>
    <w:p>
      <w:pPr>
        <w:pStyle w:val="BodyText"/>
        <w:bidi w:val="0"/>
        <w:jc w:val="left"/>
        <w:rPr/>
      </w:pPr>
      <w:r>
        <w:rPr/>
        <w:t xml:space="preserve">Awareness is recorded as an entry in </w:t>
      </w:r>
      <w:r>
        <w:rPr>
          <w:rStyle w:val="SourceText"/>
        </w:rPr>
        <w:t>registers/REG-05_Competence_and_Training_Record.md</w:t>
      </w:r>
      <w:r>
        <w:rPr/>
        <w:t xml:space="preserve"> naming the person, the document version they were made aware of, and the date. It is not recorded in advance.</w:t>
      </w:r>
    </w:p>
    <w:p>
      <w:pPr>
        <w:pStyle w:val="Heading2"/>
        <w:bidi w:val="0"/>
        <w:jc w:val="left"/>
        <w:rPr/>
      </w:pPr>
      <w:r>
        <w:rPr/>
        <w:t>7. AI-assisted development</w:t>
      </w:r>
    </w:p>
    <w:p>
      <w:pPr>
        <w:pStyle w:val="BodyText"/>
        <w:bidi w:val="0"/>
        <w:jc w:val="left"/>
        <w:rPr/>
      </w:pPr>
      <w:r>
        <w:rPr>
          <w:rStyle w:val="Strong"/>
        </w:rPr>
        <w:t>The situation, stated accurately.</w:t>
      </w:r>
      <w:r>
        <w:rPr/>
        <w:t xml:space="preserve"> A material share of the commits in this repository were produced with AI assistance and declare it through a </w:t>
      </w:r>
      <w:r>
        <w:rPr>
          <w:rStyle w:val="SourceText"/>
        </w:rPr>
        <w:t>Co-Authored-By: Claude …</w:t>
      </w:r>
      <w:r>
        <w:rPr/>
        <w:t xml:space="preserve"> trailer — for example </w:t>
      </w:r>
      <w:r>
        <w:rPr>
          <w:rStyle w:val="SourceText"/>
        </w:rPr>
        <w:t>558eaae</w:t>
      </w:r>
      <w:r>
        <w:rPr/>
        <w:t xml:space="preserve"> and </w:t>
      </w:r>
      <w:r>
        <w:rPr>
          <w:rStyle w:val="SourceText"/>
        </w:rPr>
        <w:t>4e27109</w:t>
      </w:r>
      <w:r>
        <w:rPr/>
        <w:t>. Ajace AI does not treat this as incidental. It is a resource that changes what competence means, and it is disclosed rather than obscured.</w:t>
      </w:r>
    </w:p>
    <w:p>
      <w:pPr>
        <w:pStyle w:val="BodyText"/>
        <w:bidi w:val="0"/>
        <w:jc w:val="left"/>
        <w:rPr/>
      </w:pPr>
      <w:r>
        <w:rPr>
          <w:rStyle w:val="Strong"/>
        </w:rPr>
        <w:t>The rule.</w:t>
      </w:r>
    </w:p>
    <w:p>
      <w:pPr>
        <w:pStyle w:val="BlockQuotation"/>
        <w:bidi w:val="0"/>
        <w:jc w:val="left"/>
        <w:rPr/>
      </w:pPr>
      <w:r>
        <w:rPr/>
        <w:t>The human author of a commit is accountable for every line in it, whether they typed it or an AI assistant generated it. Accountability is discharged by reviewing the change and verifying that it does what the commit says it does. An unreviewed or unverified AI-generated change must not be committed.</w:t>
      </w:r>
    </w:p>
    <w:p>
      <w:pPr>
        <w:pStyle w:val="BodyText"/>
        <w:bidi w:val="0"/>
        <w:jc w:val="left"/>
        <w:rPr/>
      </w:pPr>
      <w:r>
        <w:rPr/>
        <w:t>This rule is not aspirational; it restates what the existing evidence shows already happens. The commit bodies carry the verification, not just the intent:</w:t>
      </w:r>
    </w:p>
    <w:p>
      <w:pPr>
        <w:pStyle w:val="BodyText"/>
        <w:numPr>
          <w:ilvl w:val="0"/>
          <w:numId w:val="1"/>
        </w:numPr>
        <w:tabs>
          <w:tab w:val="clear" w:pos="1134"/>
          <w:tab w:val="left" w:pos="709" w:leader="none"/>
        </w:tabs>
        <w:bidi w:val="0"/>
        <w:spacing w:before="0" w:after="0"/>
        <w:ind w:hanging="283" w:left="709"/>
        <w:jc w:val="left"/>
        <w:rPr/>
      </w:pPr>
      <w:r>
        <w:rPr>
          <w:rStyle w:val="SourceText"/>
        </w:rPr>
        <w:t>558eaae</w:t>
      </w:r>
      <w:r>
        <w:rPr/>
        <w:t xml:space="preserve"> — diagnoses a wrong internal port, explains why the failure was silent (the exception was swallowed at debug level), and records the verification: "card mode 122 KB WAV, summary mode 541 KB WAV, and through the public site 83 KB WAV (RIFF header confirmed)". </w:t>
      </w:r>
    </w:p>
    <w:p>
      <w:pPr>
        <w:pStyle w:val="BodyText"/>
        <w:numPr>
          <w:ilvl w:val="0"/>
          <w:numId w:val="1"/>
        </w:numPr>
        <w:tabs>
          <w:tab w:val="clear" w:pos="1134"/>
          <w:tab w:val="left" w:pos="709" w:leader="none"/>
        </w:tabs>
        <w:bidi w:val="0"/>
        <w:ind w:hanging="283" w:left="709"/>
        <w:jc w:val="left"/>
        <w:rPr/>
      </w:pPr>
      <w:r>
        <w:rPr>
          <w:rStyle w:val="SourceText"/>
        </w:rPr>
        <w:t>4e27109</w:t>
      </w:r>
      <w:r>
        <w:rPr/>
        <w:t xml:space="preserve"> — states the bypassed predicate, the measured regression (golden eval 50/52 → 42/52), the fix, and the post-fix audit (0/359 out-of-namespace hits; golden eval 49/52). </w:t>
      </w:r>
    </w:p>
    <w:p>
      <w:pPr>
        <w:pStyle w:val="BodyText"/>
        <w:bidi w:val="0"/>
        <w:jc w:val="left"/>
        <w:rPr/>
      </w:pPr>
      <w:r>
        <w:rPr/>
        <w:t xml:space="preserve">Both carry a </w:t>
      </w:r>
      <w:r>
        <w:rPr>
          <w:rStyle w:val="SourceText"/>
        </w:rPr>
        <w:t>Co-Authored-By: Claude</w:t>
      </w:r>
      <w:r>
        <w:rPr/>
        <w:t xml:space="preserve"> trailer. That is the standard: AI assistance plus recorded human verification.</w:t>
      </w:r>
    </w:p>
    <w:p>
      <w:pPr>
        <w:pStyle w:val="BodyText"/>
        <w:bidi w:val="0"/>
        <w:jc w:val="left"/>
        <w:rPr/>
      </w:pPr>
      <w:r>
        <w:rPr>
          <w:rStyle w:val="Strong"/>
        </w:rPr>
        <w:t>Competence implications.</w:t>
      </w:r>
      <w:r>
        <w:rPr/>
        <w:t xml:space="preserve"> Using an AI assistant does not remove the need for competence in the area being changed; it raises it, because the contributor must be able to judge output they did not write. A contributor must not use an AI assistant to work in an area where they could not review the result unaided. Where they must work in such an area, the competence is acquired first, under §5.</w:t>
      </w:r>
    </w:p>
    <w:p>
      <w:pPr>
        <w:pStyle w:val="BodyText"/>
        <w:bidi w:val="0"/>
        <w:jc w:val="left"/>
        <w:rPr/>
      </w:pPr>
      <w:r>
        <w:rPr/>
        <w:t xml:space="preserve">The verification requirement is a mandatory design control and is stated again, with its place in the design process, in </w:t>
      </w:r>
      <w:r>
        <w:rPr>
          <w:rStyle w:val="SourceText"/>
        </w:rPr>
        <w:t>SOP-05</w:t>
      </w:r>
      <w:r>
        <w:rPr/>
        <w:t xml:space="preserve"> §7.</w:t>
      </w:r>
    </w:p>
    <w:p>
      <w:pPr>
        <w:pStyle w:val="Heading2"/>
        <w:bidi w:val="0"/>
        <w:jc w:val="left"/>
        <w:rPr/>
      </w:pPr>
      <w:r>
        <w:rPr/>
        <w:t>8. Organisational knowledge (7.1.6)</w:t>
      </w:r>
    </w:p>
    <w:p>
      <w:pPr>
        <w:pStyle w:val="BodyText"/>
        <w:bidi w:val="0"/>
        <w:jc w:val="left"/>
        <w:rPr/>
      </w:pPr>
      <w:r>
        <w:rPr/>
        <w:t>ISO 9001:2015 7.1.6 requires the organisation to determine the knowledge necessary for the operation of its processes, to maintain it, and to make it available. For Ajace AI this is not a box-ticking clause. It is one of the most serious risks the organisation carries.</w:t>
      </w:r>
    </w:p>
    <w:p>
      <w:pPr>
        <w:pStyle w:val="BodyText"/>
        <w:bidi w:val="0"/>
        <w:jc w:val="left"/>
        <w:rPr/>
      </w:pPr>
      <w:r>
        <w:rPr>
          <w:rStyle w:val="Strong"/>
        </w:rPr>
        <w:t>Knowledge that exists and is written down.</w:t>
      </w:r>
      <w:r>
        <w:rPr/>
        <w:t xml:space="preserve"> The following is real, current and available to anyone with the repository:</w:t>
      </w:r>
    </w:p>
    <w:tbl>
      <w:tblPr>
        <w:tblW w:w="11339" w:type="dxa"/>
        <w:jc w:val="left"/>
        <w:tblInd w:w="0" w:type="dxa"/>
        <w:tblLayout w:type="fixed"/>
        <w:tblCellMar>
          <w:top w:w="28" w:type="dxa"/>
          <w:left w:w="28" w:type="dxa"/>
          <w:bottom w:w="28" w:type="dxa"/>
          <w:right w:w="28" w:type="dxa"/>
        </w:tblCellMar>
      </w:tblPr>
      <w:tblGrid>
        <w:gridCol w:w="4616"/>
        <w:gridCol w:w="5614"/>
        <w:gridCol w:w="1109"/>
      </w:tblGrid>
      <w:tr>
        <w:trPr>
          <w:tblHeader w:val="true"/>
        </w:trPr>
        <w:tc>
          <w:tcPr>
            <w:tcW w:w="4616" w:type="dxa"/>
            <w:tcBorders/>
            <w:vAlign w:val="center"/>
          </w:tcPr>
          <w:p>
            <w:pPr>
              <w:pStyle w:val="TableHeading"/>
              <w:suppressLineNumbers/>
              <w:shd w:fill="1F3A5F" w:val="clear"/>
              <w:bidi w:val="0"/>
              <w:spacing w:before="0" w:after="283"/>
              <w:jc w:val="center"/>
              <w:rPr/>
            </w:pPr>
            <w:r>
              <w:rPr/>
              <w:t>Knowledge</w:t>
            </w:r>
          </w:p>
        </w:tc>
        <w:tc>
          <w:tcPr>
            <w:tcW w:w="5614" w:type="dxa"/>
            <w:tcBorders/>
            <w:vAlign w:val="center"/>
          </w:tcPr>
          <w:p>
            <w:pPr>
              <w:pStyle w:val="TableHeading"/>
              <w:suppressLineNumbers/>
              <w:shd w:fill="1F3A5F" w:val="clear"/>
              <w:bidi w:val="0"/>
              <w:spacing w:before="0" w:after="283"/>
              <w:jc w:val="center"/>
              <w:rPr/>
            </w:pPr>
            <w:r>
              <w:rPr/>
              <w:t>Where it is held</w:t>
            </w:r>
          </w:p>
        </w:tc>
        <w:tc>
          <w:tcPr>
            <w:tcW w:w="1109" w:type="dxa"/>
            <w:tcBorders/>
            <w:vAlign w:val="center"/>
          </w:tcPr>
          <w:p>
            <w:pPr>
              <w:pStyle w:val="TableHeading"/>
              <w:suppressLineNumbers/>
              <w:shd w:fill="1F3A5F" w:val="clear"/>
              <w:bidi w:val="0"/>
              <w:spacing w:before="0" w:after="283"/>
              <w:jc w:val="center"/>
              <w:rPr/>
            </w:pPr>
            <w:r>
              <w:rPr/>
              <w:t>Size</w:t>
            </w:r>
          </w:p>
        </w:tc>
      </w:tr>
      <w:tr>
        <w:trPr/>
        <w:tc>
          <w:tcPr>
            <w:tcW w:w="4616" w:type="dxa"/>
            <w:tcBorders/>
            <w:vAlign w:val="center"/>
          </w:tcPr>
          <w:p>
            <w:pPr>
              <w:pStyle w:val="TableContents"/>
              <w:bidi w:val="0"/>
              <w:spacing w:before="0" w:after="283"/>
              <w:jc w:val="left"/>
              <w:rPr/>
            </w:pPr>
            <w:r>
              <w:rPr/>
              <w:t>What the platform is and does</w:t>
            </w:r>
          </w:p>
        </w:tc>
        <w:tc>
          <w:tcPr>
            <w:tcW w:w="5614" w:type="dxa"/>
            <w:tcBorders/>
            <w:vAlign w:val="center"/>
          </w:tcPr>
          <w:p>
            <w:pPr>
              <w:pStyle w:val="TableContents"/>
              <w:bidi w:val="0"/>
              <w:spacing w:before="0" w:after="283"/>
              <w:jc w:val="left"/>
              <w:rPr/>
            </w:pPr>
            <w:r>
              <w:rPr>
                <w:rStyle w:val="SourceText"/>
              </w:rPr>
              <w:t>docs/CAPABILITIES.md</w:t>
            </w:r>
          </w:p>
        </w:tc>
        <w:tc>
          <w:tcPr>
            <w:tcW w:w="1109" w:type="dxa"/>
            <w:tcBorders/>
            <w:vAlign w:val="center"/>
          </w:tcPr>
          <w:p>
            <w:pPr>
              <w:pStyle w:val="TableContents"/>
              <w:bidi w:val="0"/>
              <w:spacing w:before="0" w:after="283"/>
              <w:jc w:val="left"/>
              <w:rPr/>
            </w:pPr>
            <w:r>
              <w:rPr/>
              <w:t>284 lines</w:t>
            </w:r>
          </w:p>
        </w:tc>
      </w:tr>
      <w:tr>
        <w:trPr/>
        <w:tc>
          <w:tcPr>
            <w:tcW w:w="4616" w:type="dxa"/>
            <w:tcBorders/>
            <w:vAlign w:val="center"/>
          </w:tcPr>
          <w:p>
            <w:pPr>
              <w:pStyle w:val="TableContents"/>
              <w:bidi w:val="0"/>
              <w:spacing w:before="0" w:after="283"/>
              <w:jc w:val="left"/>
              <w:rPr/>
            </w:pPr>
            <w:r>
              <w:rPr/>
              <w:t>Retrieval pipeline end to end</w:t>
            </w:r>
          </w:p>
        </w:tc>
        <w:tc>
          <w:tcPr>
            <w:tcW w:w="5614" w:type="dxa"/>
            <w:tcBorders/>
            <w:vAlign w:val="center"/>
          </w:tcPr>
          <w:p>
            <w:pPr>
              <w:pStyle w:val="TableContents"/>
              <w:bidi w:val="0"/>
              <w:spacing w:before="0" w:after="283"/>
              <w:jc w:val="left"/>
              <w:rPr/>
            </w:pPr>
            <w:r>
              <w:rPr>
                <w:rStyle w:val="SourceText"/>
              </w:rPr>
              <w:t>docs/RAG_FLOW.md</w:t>
            </w:r>
          </w:p>
        </w:tc>
        <w:tc>
          <w:tcPr>
            <w:tcW w:w="1109" w:type="dxa"/>
            <w:tcBorders/>
            <w:vAlign w:val="center"/>
          </w:tcPr>
          <w:p>
            <w:pPr>
              <w:pStyle w:val="TableContents"/>
              <w:bidi w:val="0"/>
              <w:spacing w:before="0" w:after="283"/>
              <w:jc w:val="left"/>
              <w:rPr/>
            </w:pPr>
            <w:r>
              <w:rPr/>
              <w:t>281 lines</w:t>
            </w:r>
          </w:p>
        </w:tc>
      </w:tr>
      <w:tr>
        <w:trPr/>
        <w:tc>
          <w:tcPr>
            <w:tcW w:w="4616" w:type="dxa"/>
            <w:tcBorders/>
            <w:vAlign w:val="center"/>
          </w:tcPr>
          <w:p>
            <w:pPr>
              <w:pStyle w:val="TableContents"/>
              <w:bidi w:val="0"/>
              <w:spacing w:before="0" w:after="283"/>
              <w:jc w:val="left"/>
              <w:rPr/>
            </w:pPr>
            <w:r>
              <w:rPr/>
              <w:t>Chunking and embedding rationale</w:t>
            </w:r>
          </w:p>
        </w:tc>
        <w:tc>
          <w:tcPr>
            <w:tcW w:w="5614" w:type="dxa"/>
            <w:tcBorders/>
            <w:vAlign w:val="center"/>
          </w:tcPr>
          <w:p>
            <w:pPr>
              <w:pStyle w:val="TableContents"/>
              <w:bidi w:val="0"/>
              <w:spacing w:before="0" w:after="283"/>
              <w:jc w:val="left"/>
              <w:rPr/>
            </w:pPr>
            <w:r>
              <w:rPr>
                <w:rStyle w:val="SourceText"/>
              </w:rPr>
              <w:t>docs/RAG_AND_CHUNKING_EXPLAINED.md</w:t>
            </w:r>
          </w:p>
        </w:tc>
        <w:tc>
          <w:tcPr>
            <w:tcW w:w="1109" w:type="dxa"/>
            <w:tcBorders/>
            <w:vAlign w:val="center"/>
          </w:tcPr>
          <w:p>
            <w:pPr>
              <w:pStyle w:val="TableContents"/>
              <w:bidi w:val="0"/>
              <w:spacing w:before="0" w:after="283"/>
              <w:jc w:val="left"/>
              <w:rPr/>
            </w:pPr>
            <w:r>
              <w:rPr/>
              <w:t>315 lines</w:t>
            </w:r>
          </w:p>
        </w:tc>
      </w:tr>
      <w:tr>
        <w:trPr/>
        <w:tc>
          <w:tcPr>
            <w:tcW w:w="4616" w:type="dxa"/>
            <w:tcBorders/>
            <w:vAlign w:val="center"/>
          </w:tcPr>
          <w:p>
            <w:pPr>
              <w:pStyle w:val="TableContents"/>
              <w:bidi w:val="0"/>
              <w:spacing w:before="0" w:after="283"/>
              <w:jc w:val="left"/>
              <w:rPr/>
            </w:pPr>
            <w:r>
              <w:rPr/>
              <w:t>Per-message chat path and LLM call accounting</w:t>
            </w:r>
          </w:p>
        </w:tc>
        <w:tc>
          <w:tcPr>
            <w:tcW w:w="5614" w:type="dxa"/>
            <w:tcBorders/>
            <w:vAlign w:val="center"/>
          </w:tcPr>
          <w:p>
            <w:pPr>
              <w:pStyle w:val="TableContents"/>
              <w:bidi w:val="0"/>
              <w:spacing w:before="0" w:after="283"/>
              <w:jc w:val="left"/>
              <w:rPr/>
            </w:pPr>
            <w:r>
              <w:rPr>
                <w:rStyle w:val="SourceText"/>
              </w:rPr>
              <w:t>docs/CHAT_AND_RAG_FLOW.md</w:t>
            </w:r>
          </w:p>
        </w:tc>
        <w:tc>
          <w:tcPr>
            <w:tcW w:w="1109" w:type="dxa"/>
            <w:tcBorders/>
            <w:vAlign w:val="center"/>
          </w:tcPr>
          <w:p>
            <w:pPr>
              <w:pStyle w:val="TableContents"/>
              <w:bidi w:val="0"/>
              <w:spacing w:before="0" w:after="283"/>
              <w:jc w:val="left"/>
              <w:rPr/>
            </w:pPr>
            <w:r>
              <w:rPr/>
              <w:t>273 lines</w:t>
            </w:r>
          </w:p>
        </w:tc>
      </w:tr>
      <w:tr>
        <w:trPr/>
        <w:tc>
          <w:tcPr>
            <w:tcW w:w="4616" w:type="dxa"/>
            <w:tcBorders/>
            <w:vAlign w:val="center"/>
          </w:tcPr>
          <w:p>
            <w:pPr>
              <w:pStyle w:val="TableContents"/>
              <w:bidi w:val="0"/>
              <w:spacing w:before="0" w:after="283"/>
              <w:jc w:val="left"/>
              <w:rPr/>
            </w:pPr>
            <w:r>
              <w:rPr/>
              <w:t>Session and summary handling</w:t>
            </w:r>
          </w:p>
        </w:tc>
        <w:tc>
          <w:tcPr>
            <w:tcW w:w="5614" w:type="dxa"/>
            <w:tcBorders/>
            <w:vAlign w:val="center"/>
          </w:tcPr>
          <w:p>
            <w:pPr>
              <w:pStyle w:val="TableContents"/>
              <w:bidi w:val="0"/>
              <w:spacing w:before="0" w:after="283"/>
              <w:jc w:val="left"/>
              <w:rPr/>
            </w:pPr>
            <w:r>
              <w:rPr>
                <w:rStyle w:val="SourceText"/>
              </w:rPr>
              <w:t>docs/CHAT_SESSION_AND_SUMMARY_FLOW.md</w:t>
            </w:r>
          </w:p>
        </w:tc>
        <w:tc>
          <w:tcPr>
            <w:tcW w:w="1109" w:type="dxa"/>
            <w:tcBorders/>
            <w:vAlign w:val="center"/>
          </w:tcPr>
          <w:p>
            <w:pPr>
              <w:pStyle w:val="TableContents"/>
              <w:bidi w:val="0"/>
              <w:spacing w:before="0" w:after="283"/>
              <w:jc w:val="left"/>
              <w:rPr/>
            </w:pPr>
            <w:r>
              <w:rPr/>
              <w:t>—</w:t>
            </w:r>
          </w:p>
        </w:tc>
      </w:tr>
      <w:tr>
        <w:trPr/>
        <w:tc>
          <w:tcPr>
            <w:tcW w:w="4616" w:type="dxa"/>
            <w:tcBorders/>
            <w:vAlign w:val="center"/>
          </w:tcPr>
          <w:p>
            <w:pPr>
              <w:pStyle w:val="TableContents"/>
              <w:bidi w:val="0"/>
              <w:spacing w:before="0" w:after="283"/>
              <w:jc w:val="left"/>
              <w:rPr/>
            </w:pPr>
            <w:r>
              <w:rPr/>
              <w:t>Conversational AI and wake-word behaviour</w:t>
            </w:r>
          </w:p>
        </w:tc>
        <w:tc>
          <w:tcPr>
            <w:tcW w:w="5614" w:type="dxa"/>
            <w:tcBorders/>
            <w:vAlign w:val="center"/>
          </w:tcPr>
          <w:p>
            <w:pPr>
              <w:pStyle w:val="TableContents"/>
              <w:bidi w:val="0"/>
              <w:spacing w:before="0" w:after="283"/>
              <w:jc w:val="left"/>
              <w:rPr/>
            </w:pPr>
            <w:r>
              <w:rPr>
                <w:rStyle w:val="SourceText"/>
              </w:rPr>
              <w:t>docs/CONVERSATION_AI_AND_WAKE_WORD_FLOW.md</w:t>
            </w:r>
          </w:p>
        </w:tc>
        <w:tc>
          <w:tcPr>
            <w:tcW w:w="1109" w:type="dxa"/>
            <w:tcBorders/>
            <w:vAlign w:val="center"/>
          </w:tcPr>
          <w:p>
            <w:pPr>
              <w:pStyle w:val="TableContents"/>
              <w:bidi w:val="0"/>
              <w:spacing w:before="0" w:after="283"/>
              <w:jc w:val="left"/>
              <w:rPr/>
            </w:pPr>
            <w:r>
              <w:rPr/>
              <w:t>181 lines</w:t>
            </w:r>
          </w:p>
        </w:tc>
      </w:tr>
      <w:tr>
        <w:trPr/>
        <w:tc>
          <w:tcPr>
            <w:tcW w:w="4616" w:type="dxa"/>
            <w:tcBorders/>
            <w:vAlign w:val="center"/>
          </w:tcPr>
          <w:p>
            <w:pPr>
              <w:pStyle w:val="TableContents"/>
              <w:bidi w:val="0"/>
              <w:spacing w:before="0" w:after="283"/>
              <w:jc w:val="left"/>
              <w:rPr/>
            </w:pPr>
            <w:r>
              <w:rPr/>
              <w:t>Transcript storage</w:t>
            </w:r>
          </w:p>
        </w:tc>
        <w:tc>
          <w:tcPr>
            <w:tcW w:w="5614" w:type="dxa"/>
            <w:tcBorders/>
            <w:vAlign w:val="center"/>
          </w:tcPr>
          <w:p>
            <w:pPr>
              <w:pStyle w:val="TableContents"/>
              <w:bidi w:val="0"/>
              <w:spacing w:before="0" w:after="283"/>
              <w:jc w:val="left"/>
              <w:rPr/>
            </w:pPr>
            <w:r>
              <w:rPr>
                <w:rStyle w:val="SourceText"/>
              </w:rPr>
              <w:t>docs/TRANSCRIPT_STORAGE_FLOW.md</w:t>
            </w:r>
          </w:p>
        </w:tc>
        <w:tc>
          <w:tcPr>
            <w:tcW w:w="1109" w:type="dxa"/>
            <w:tcBorders/>
            <w:vAlign w:val="center"/>
          </w:tcPr>
          <w:p>
            <w:pPr>
              <w:pStyle w:val="TableContents"/>
              <w:bidi w:val="0"/>
              <w:spacing w:before="0" w:after="283"/>
              <w:jc w:val="left"/>
              <w:rPr/>
            </w:pPr>
            <w:r>
              <w:rPr/>
              <w:t>171 lines</w:t>
            </w:r>
          </w:p>
        </w:tc>
      </w:tr>
      <w:tr>
        <w:trPr/>
        <w:tc>
          <w:tcPr>
            <w:tcW w:w="4616" w:type="dxa"/>
            <w:tcBorders/>
            <w:vAlign w:val="center"/>
          </w:tcPr>
          <w:p>
            <w:pPr>
              <w:pStyle w:val="TableContents"/>
              <w:bidi w:val="0"/>
              <w:spacing w:before="0" w:after="283"/>
              <w:jc w:val="left"/>
              <w:rPr/>
            </w:pPr>
            <w:r>
              <w:rPr/>
              <w:t>Live-transcription WebSocket protocol</w:t>
            </w:r>
          </w:p>
        </w:tc>
        <w:tc>
          <w:tcPr>
            <w:tcW w:w="5614" w:type="dxa"/>
            <w:tcBorders/>
            <w:vAlign w:val="center"/>
          </w:tcPr>
          <w:p>
            <w:pPr>
              <w:pStyle w:val="TableContents"/>
              <w:bidi w:val="0"/>
              <w:spacing w:before="0" w:after="283"/>
              <w:jc w:val="left"/>
              <w:rPr/>
            </w:pPr>
            <w:r>
              <w:rPr>
                <w:rStyle w:val="SourceText"/>
              </w:rPr>
              <w:t>backend/app/transcribe/PROTOCOL.md</w:t>
            </w:r>
          </w:p>
        </w:tc>
        <w:tc>
          <w:tcPr>
            <w:tcW w:w="1109" w:type="dxa"/>
            <w:tcBorders/>
            <w:vAlign w:val="center"/>
          </w:tcPr>
          <w:p>
            <w:pPr>
              <w:pStyle w:val="TableContents"/>
              <w:bidi w:val="0"/>
              <w:spacing w:before="0" w:after="283"/>
              <w:jc w:val="left"/>
              <w:rPr/>
            </w:pPr>
            <w:r>
              <w:rPr/>
              <w:t>43 lines</w:t>
            </w:r>
          </w:p>
        </w:tc>
      </w:tr>
      <w:tr>
        <w:trPr/>
        <w:tc>
          <w:tcPr>
            <w:tcW w:w="4616" w:type="dxa"/>
            <w:tcBorders/>
            <w:vAlign w:val="center"/>
          </w:tcPr>
          <w:p>
            <w:pPr>
              <w:pStyle w:val="TableContents"/>
              <w:bidi w:val="0"/>
              <w:spacing w:before="0" w:after="283"/>
              <w:jc w:val="left"/>
              <w:rPr/>
            </w:pPr>
            <w:r>
              <w:rPr/>
              <w:t>Self-audit of the RAG pipeline</w:t>
            </w:r>
          </w:p>
        </w:tc>
        <w:tc>
          <w:tcPr>
            <w:tcW w:w="5614" w:type="dxa"/>
            <w:tcBorders/>
            <w:vAlign w:val="center"/>
          </w:tcPr>
          <w:p>
            <w:pPr>
              <w:pStyle w:val="TableContents"/>
              <w:bidi w:val="0"/>
              <w:spacing w:before="0" w:after="283"/>
              <w:jc w:val="left"/>
              <w:rPr/>
            </w:pPr>
            <w:r>
              <w:rPr>
                <w:rStyle w:val="SourceText"/>
              </w:rPr>
              <w:t>docs/RAG_AUDIT.md</w:t>
            </w:r>
            <w:r>
              <w:rPr/>
              <w:t xml:space="preserve"> (dated February 2026)</w:t>
            </w:r>
          </w:p>
        </w:tc>
        <w:tc>
          <w:tcPr>
            <w:tcW w:w="1109" w:type="dxa"/>
            <w:tcBorders/>
            <w:vAlign w:val="center"/>
          </w:tcPr>
          <w:p>
            <w:pPr>
              <w:pStyle w:val="TableContents"/>
              <w:bidi w:val="0"/>
              <w:spacing w:before="0" w:after="283"/>
              <w:jc w:val="left"/>
              <w:rPr/>
            </w:pPr>
            <w:r>
              <w:rPr/>
              <w:t>183 lines</w:t>
            </w:r>
          </w:p>
        </w:tc>
      </w:tr>
      <w:tr>
        <w:trPr/>
        <w:tc>
          <w:tcPr>
            <w:tcW w:w="4616" w:type="dxa"/>
            <w:tcBorders/>
            <w:vAlign w:val="center"/>
          </w:tcPr>
          <w:p>
            <w:pPr>
              <w:pStyle w:val="TableContents"/>
              <w:bidi w:val="0"/>
              <w:spacing w:before="0" w:after="283"/>
              <w:jc w:val="left"/>
              <w:rPr/>
            </w:pPr>
            <w:r>
              <w:rPr/>
              <w:t>End-user operation</w:t>
            </w:r>
          </w:p>
        </w:tc>
        <w:tc>
          <w:tcPr>
            <w:tcW w:w="5614" w:type="dxa"/>
            <w:tcBorders/>
            <w:vAlign w:val="center"/>
          </w:tcPr>
          <w:p>
            <w:pPr>
              <w:pStyle w:val="TableContents"/>
              <w:bidi w:val="0"/>
              <w:spacing w:before="0" w:after="283"/>
              <w:jc w:val="left"/>
              <w:rPr/>
            </w:pPr>
            <w:r>
              <w:rPr>
                <w:rStyle w:val="SourceText"/>
              </w:rPr>
              <w:t>docs/USER_MANUAL.md</w:t>
            </w:r>
            <w:r>
              <w:rPr/>
              <w:t>, 16 chapters</w:t>
            </w:r>
          </w:p>
        </w:tc>
        <w:tc>
          <w:tcPr>
            <w:tcW w:w="1109" w:type="dxa"/>
            <w:tcBorders/>
            <w:vAlign w:val="center"/>
          </w:tcPr>
          <w:p>
            <w:pPr>
              <w:pStyle w:val="TableContents"/>
              <w:bidi w:val="0"/>
              <w:spacing w:before="0" w:after="283"/>
              <w:jc w:val="left"/>
              <w:rPr/>
            </w:pPr>
            <w:r>
              <w:rPr/>
              <w:t>1257 lines</w:t>
            </w:r>
          </w:p>
        </w:tc>
      </w:tr>
      <w:tr>
        <w:trPr/>
        <w:tc>
          <w:tcPr>
            <w:tcW w:w="4616" w:type="dxa"/>
            <w:tcBorders/>
            <w:vAlign w:val="center"/>
          </w:tcPr>
          <w:p>
            <w:pPr>
              <w:pStyle w:val="TableContents"/>
              <w:bidi w:val="0"/>
              <w:spacing w:before="0" w:after="283"/>
              <w:jc w:val="left"/>
              <w:rPr/>
            </w:pPr>
            <w:r>
              <w:rPr/>
              <w:t>Offline and public deployment</w:t>
            </w:r>
          </w:p>
        </w:tc>
        <w:tc>
          <w:tcPr>
            <w:tcW w:w="5614" w:type="dxa"/>
            <w:tcBorders/>
            <w:vAlign w:val="center"/>
          </w:tcPr>
          <w:p>
            <w:pPr>
              <w:pStyle w:val="TableContents"/>
              <w:bidi w:val="0"/>
              <w:spacing w:before="0" w:after="283"/>
              <w:jc w:val="left"/>
              <w:rPr/>
            </w:pPr>
            <w:r>
              <w:rPr>
                <w:rStyle w:val="SourceText"/>
              </w:rPr>
              <w:t>OFFLINE_DEPLOYMENT.md</w:t>
            </w:r>
            <w:r>
              <w:rPr/>
              <w:t xml:space="preserve">, </w:t>
            </w:r>
            <w:r>
              <w:rPr>
                <w:rStyle w:val="SourceText"/>
              </w:rPr>
              <w:t>docs/PUBLIC_DEPLOYMENT.md</w:t>
            </w:r>
          </w:p>
        </w:tc>
        <w:tc>
          <w:tcPr>
            <w:tcW w:w="1109" w:type="dxa"/>
            <w:tcBorders/>
            <w:vAlign w:val="center"/>
          </w:tcPr>
          <w:p>
            <w:pPr>
              <w:pStyle w:val="TableContents"/>
              <w:bidi w:val="0"/>
              <w:spacing w:before="0" w:after="283"/>
              <w:jc w:val="left"/>
              <w:rPr/>
            </w:pPr>
            <w:r>
              <w:rPr/>
              <w:t>—</w:t>
            </w:r>
          </w:p>
        </w:tc>
      </w:tr>
      <w:tr>
        <w:trPr/>
        <w:tc>
          <w:tcPr>
            <w:tcW w:w="4616" w:type="dxa"/>
            <w:tcBorders/>
            <w:vAlign w:val="center"/>
          </w:tcPr>
          <w:p>
            <w:pPr>
              <w:pStyle w:val="TableContents"/>
              <w:bidi w:val="0"/>
              <w:spacing w:before="0" w:after="283"/>
              <w:jc w:val="left"/>
              <w:rPr/>
            </w:pPr>
            <w:r>
              <w:rPr/>
              <w:t>Why the infrastructure is configured as it is</w:t>
            </w:r>
          </w:p>
        </w:tc>
        <w:tc>
          <w:tcPr>
            <w:tcW w:w="5614" w:type="dxa"/>
            <w:tcBorders/>
            <w:vAlign w:val="center"/>
          </w:tcPr>
          <w:p>
            <w:pPr>
              <w:pStyle w:val="TableContents"/>
              <w:bidi w:val="0"/>
              <w:spacing w:before="0" w:after="283"/>
              <w:jc w:val="left"/>
              <w:rPr/>
            </w:pPr>
            <w:r>
              <w:rPr/>
              <w:t xml:space="preserve">Inline comments at </w:t>
            </w:r>
            <w:r>
              <w:rPr>
                <w:rStyle w:val="SourceText"/>
              </w:rPr>
              <w:t>docker-compose.yml:7-11</w:t>
            </w:r>
            <w:r>
              <w:rPr/>
              <w:t xml:space="preserve">, </w:t>
            </w:r>
            <w:r>
              <w:rPr>
                <w:rStyle w:val="SourceText"/>
              </w:rPr>
              <w:t>41-44</w:t>
            </w:r>
            <w:r>
              <w:rPr/>
              <w:t xml:space="preserve">, </w:t>
            </w:r>
            <w:r>
              <w:rPr>
                <w:rStyle w:val="SourceText"/>
              </w:rPr>
              <w:t>69-72</w:t>
            </w:r>
            <w:r>
              <w:rPr/>
              <w:t xml:space="preserve">, </w:t>
            </w:r>
            <w:r>
              <w:rPr>
                <w:rStyle w:val="SourceText"/>
              </w:rPr>
              <w:t>108-112</w:t>
            </w:r>
          </w:p>
        </w:tc>
        <w:tc>
          <w:tcPr>
            <w:tcW w:w="1109" w:type="dxa"/>
            <w:tcBorders/>
            <w:vAlign w:val="center"/>
          </w:tcPr>
          <w:p>
            <w:pPr>
              <w:pStyle w:val="TableContents"/>
              <w:bidi w:val="0"/>
              <w:spacing w:before="0" w:after="283"/>
              <w:jc w:val="left"/>
              <w:rPr/>
            </w:pPr>
            <w:r>
              <w:rPr/>
              <w:t>—</w:t>
            </w:r>
          </w:p>
        </w:tc>
      </w:tr>
      <w:tr>
        <w:trPr/>
        <w:tc>
          <w:tcPr>
            <w:tcW w:w="4616" w:type="dxa"/>
            <w:tcBorders/>
            <w:vAlign w:val="center"/>
          </w:tcPr>
          <w:p>
            <w:pPr>
              <w:pStyle w:val="TableContents"/>
              <w:bidi w:val="0"/>
              <w:spacing w:before="0" w:after="283"/>
              <w:jc w:val="left"/>
              <w:rPr/>
            </w:pPr>
            <w:r>
              <w:rPr/>
              <w:t>Why individual changes were made, and how they were verified</w:t>
            </w:r>
          </w:p>
        </w:tc>
        <w:tc>
          <w:tcPr>
            <w:tcW w:w="5614" w:type="dxa"/>
            <w:tcBorders/>
            <w:vAlign w:val="center"/>
          </w:tcPr>
          <w:p>
            <w:pPr>
              <w:pStyle w:val="TableContents"/>
              <w:bidi w:val="0"/>
              <w:spacing w:before="0" w:after="283"/>
              <w:jc w:val="left"/>
              <w:rPr/>
            </w:pPr>
            <w:r>
              <w:rPr/>
              <w:t xml:space="preserve">Commit bodies, e.g. </w:t>
            </w:r>
            <w:r>
              <w:rPr>
                <w:rStyle w:val="SourceText"/>
              </w:rPr>
              <w:t>558eaae</w:t>
            </w:r>
            <w:r>
              <w:rPr/>
              <w:t xml:space="preserve">, </w:t>
            </w:r>
            <w:r>
              <w:rPr>
                <w:rStyle w:val="SourceText"/>
              </w:rPr>
              <w:t>4e27109</w:t>
            </w:r>
          </w:p>
        </w:tc>
        <w:tc>
          <w:tcPr>
            <w:tcW w:w="1109" w:type="dxa"/>
            <w:tcBorders/>
            <w:vAlign w:val="center"/>
          </w:tcPr>
          <w:p>
            <w:pPr>
              <w:pStyle w:val="TableContents"/>
              <w:bidi w:val="0"/>
              <w:spacing w:before="0" w:after="283"/>
              <w:jc w:val="left"/>
              <w:rPr/>
            </w:pPr>
            <w:r>
              <w:rPr/>
              <w:t>202 commits</w:t>
            </w:r>
          </w:p>
        </w:tc>
      </w:tr>
    </w:tbl>
    <w:p>
      <w:pPr>
        <w:pStyle w:val="BodyText"/>
        <w:bidi w:val="0"/>
        <w:jc w:val="left"/>
        <w:rPr/>
      </w:pPr>
      <w:r>
        <w:rPr>
          <w:rStyle w:val="Strong"/>
        </w:rPr>
        <w:t>Knowledge that exists only in one person's head.</w:t>
      </w:r>
      <w:r>
        <w:rPr/>
        <w:t xml:space="preserve"> This is the gap, and it is large. The written material above describes </w:t>
      </w:r>
      <w:r>
        <w:rPr>
          <w:rStyle w:val="Emphasis"/>
        </w:rPr>
        <w:t>what the system does</w:t>
      </w:r>
      <w:r>
        <w:rPr/>
        <w:t>. It does not fully capture the operational knowledge needed to keep it running: which failure modes present as which symptoms, which recovery action to take for each, what "normal" looks like on the reference hardware, what has already been tried and rejected for a given problem, and the reasoning behind decisions made before the commit-body discipline was adopted (only 80 of 202 commits use conventional prefixes; the convention was adopted partway through the project's life).</w:t>
      </w:r>
    </w:p>
    <w:p>
      <w:pPr>
        <w:pStyle w:val="BodyText"/>
        <w:bidi w:val="0"/>
        <w:jc w:val="left"/>
        <w:rPr/>
      </w:pPr>
      <w:r>
        <w:rPr>
          <w:rStyle w:val="Strong"/>
        </w:rPr>
        <w:t>Maintaining and making it available.</w:t>
      </w:r>
      <w:r>
        <w:rPr/>
        <w:t xml:space="preserve"> The following are the standing requirements:</w:t>
      </w:r>
    </w:p>
    <w:p>
      <w:pPr>
        <w:pStyle w:val="BodyText"/>
        <w:numPr>
          <w:ilvl w:val="0"/>
          <w:numId w:val="2"/>
        </w:numPr>
        <w:tabs>
          <w:tab w:val="clear" w:pos="1134"/>
          <w:tab w:val="left" w:pos="709" w:leader="none"/>
        </w:tabs>
        <w:bidi w:val="0"/>
        <w:spacing w:before="0" w:after="0"/>
        <w:ind w:hanging="283" w:left="709"/>
        <w:jc w:val="left"/>
        <w:rPr/>
      </w:pPr>
      <w:r>
        <w:rPr/>
        <w:t xml:space="preserve">A change that alters observable behaviour updates the affected document in </w:t>
      </w:r>
      <w:r>
        <w:rPr>
          <w:rStyle w:val="SourceText"/>
        </w:rPr>
        <w:t>docs/</w:t>
      </w:r>
      <w:r>
        <w:rPr/>
        <w:t xml:space="preserve"> in the same commit as the code. </w:t>
      </w:r>
    </w:p>
    <w:p>
      <w:pPr>
        <w:pStyle w:val="BodyText"/>
        <w:numPr>
          <w:ilvl w:val="0"/>
          <w:numId w:val="2"/>
        </w:numPr>
        <w:tabs>
          <w:tab w:val="clear" w:pos="1134"/>
          <w:tab w:val="left" w:pos="709" w:leader="none"/>
        </w:tabs>
        <w:bidi w:val="0"/>
        <w:spacing w:before="0" w:after="0"/>
        <w:ind w:hanging="283" w:left="709"/>
        <w:jc w:val="left"/>
        <w:rPr/>
      </w:pPr>
      <w:r>
        <w:rPr/>
        <w:t xml:space="preserve">A commit body states the rationale and the verification, in the form already demonstrated by </w:t>
      </w:r>
      <w:r>
        <w:rPr>
          <w:rStyle w:val="SourceText"/>
        </w:rPr>
        <w:t>558eaae</w:t>
      </w:r>
      <w:r>
        <w:rPr/>
        <w:t xml:space="preserve"> and </w:t>
      </w:r>
      <w:r>
        <w:rPr>
          <w:rStyle w:val="SourceText"/>
        </w:rPr>
        <w:t>4e27109</w:t>
      </w:r>
      <w:r>
        <w:rPr/>
        <w:t xml:space="preserve">. This is the primary mechanism by which knowledge survives the person. </w:t>
      </w:r>
    </w:p>
    <w:p>
      <w:pPr>
        <w:pStyle w:val="BodyText"/>
        <w:numPr>
          <w:ilvl w:val="0"/>
          <w:numId w:val="2"/>
        </w:numPr>
        <w:tabs>
          <w:tab w:val="clear" w:pos="1134"/>
          <w:tab w:val="left" w:pos="709" w:leader="none"/>
        </w:tabs>
        <w:bidi w:val="0"/>
        <w:spacing w:before="0" w:after="0"/>
        <w:ind w:hanging="283" w:left="709"/>
        <w:jc w:val="left"/>
        <w:rPr/>
      </w:pPr>
      <w:r>
        <w:rPr/>
        <w:t xml:space="preserve">Where a failure mode is diagnosed and recovered, the diagnosis and the recovery are written down — in the relevant document in </w:t>
      </w:r>
      <w:r>
        <w:rPr>
          <w:rStyle w:val="SourceText"/>
        </w:rPr>
        <w:t>docs/</w:t>
      </w:r>
      <w:r>
        <w:rPr/>
        <w:t xml:space="preserve">, not only in the commit — so that a second person could perform the recovery. </w:t>
      </w:r>
    </w:p>
    <w:p>
      <w:pPr>
        <w:pStyle w:val="BodyText"/>
        <w:numPr>
          <w:ilvl w:val="0"/>
          <w:numId w:val="2"/>
        </w:numPr>
        <w:tabs>
          <w:tab w:val="clear" w:pos="1134"/>
          <w:tab w:val="left" w:pos="709" w:leader="none"/>
        </w:tabs>
        <w:bidi w:val="0"/>
        <w:ind w:hanging="283" w:left="709"/>
        <w:jc w:val="left"/>
        <w:rPr/>
      </w:pPr>
      <w:r>
        <w:rPr/>
        <w:t xml:space="preserve">Knowledge needed from outside the organisation (model documentation, NVIDIA platform documentation, the ISO standard text) is identified in </w:t>
      </w:r>
      <w:r>
        <w:rPr>
          <w:rStyle w:val="SourceText"/>
        </w:rPr>
        <w:t>registers/REG-02_External_Documents_and_Providers.md</w:t>
      </w:r>
      <w:r>
        <w:rPr/>
        <w:t xml:space="preserve"> with the version in use. </w:t>
      </w:r>
    </w:p>
    <w:p>
      <w:pPr>
        <w:pStyle w:val="BodyText"/>
        <w:bidi w:val="0"/>
        <w:jc w:val="left"/>
        <w:rPr/>
      </w:pPr>
      <w:r>
        <w:rPr>
          <w:rStyle w:val="Strong"/>
        </w:rPr>
        <w:t>Knowledge required for a change in circumstances</w:t>
      </w:r>
      <w:r>
        <w:rPr/>
        <w:t xml:space="preserve"> (7.1.6, second paragraph) is determined at the same time as the change itself, under </w:t>
      </w:r>
      <w:r>
        <w:rPr>
          <w:rStyle w:val="SourceText"/>
        </w:rPr>
        <w:t>SOP-02</w:t>
      </w:r>
      <w:r>
        <w:rPr/>
        <w:t xml:space="preserve"> §9. The two changes in circumstance that would demand new knowledge immediately are: onboarding a second person, and moving off the GB10 reference platform.</w:t>
      </w:r>
    </w:p>
    <w:p>
      <w:pPr>
        <w:pStyle w:val="Heading2"/>
        <w:bidi w:val="0"/>
        <w:jc w:val="left"/>
        <w:rPr/>
      </w:pPr>
      <w:r>
        <w:rPr/>
        <w:t>9. Records</w:t>
      </w:r>
    </w:p>
    <w:tbl>
      <w:tblPr>
        <w:tblW w:w="11339" w:type="dxa"/>
        <w:jc w:val="left"/>
        <w:tblInd w:w="0" w:type="dxa"/>
        <w:tblLayout w:type="fixed"/>
        <w:tblCellMar>
          <w:top w:w="28" w:type="dxa"/>
          <w:left w:w="28" w:type="dxa"/>
          <w:bottom w:w="28" w:type="dxa"/>
          <w:right w:w="28" w:type="dxa"/>
        </w:tblCellMar>
      </w:tblPr>
      <w:tblGrid>
        <w:gridCol w:w="4236"/>
        <w:gridCol w:w="4194"/>
        <w:gridCol w:w="2909"/>
      </w:tblGrid>
      <w:tr>
        <w:trPr>
          <w:tblHeader w:val="true"/>
        </w:trPr>
        <w:tc>
          <w:tcPr>
            <w:tcW w:w="4236" w:type="dxa"/>
            <w:tcBorders/>
            <w:vAlign w:val="center"/>
          </w:tcPr>
          <w:p>
            <w:pPr>
              <w:pStyle w:val="TableHeading"/>
              <w:suppressLineNumbers/>
              <w:shd w:fill="1F3A5F" w:val="clear"/>
              <w:bidi w:val="0"/>
              <w:spacing w:before="0" w:after="283"/>
              <w:jc w:val="center"/>
              <w:rPr/>
            </w:pPr>
            <w:r>
              <w:rPr/>
              <w:t>Record</w:t>
            </w:r>
          </w:p>
        </w:tc>
        <w:tc>
          <w:tcPr>
            <w:tcW w:w="4194" w:type="dxa"/>
            <w:tcBorders/>
            <w:vAlign w:val="center"/>
          </w:tcPr>
          <w:p>
            <w:pPr>
              <w:pStyle w:val="TableHeading"/>
              <w:suppressLineNumbers/>
              <w:shd w:fill="1F3A5F" w:val="clear"/>
              <w:bidi w:val="0"/>
              <w:spacing w:before="0" w:after="283"/>
              <w:jc w:val="center"/>
              <w:rPr/>
            </w:pPr>
            <w:r>
              <w:rPr/>
              <w:t>Location</w:t>
            </w:r>
          </w:p>
        </w:tc>
        <w:tc>
          <w:tcPr>
            <w:tcW w:w="2909" w:type="dxa"/>
            <w:tcBorders/>
            <w:vAlign w:val="center"/>
          </w:tcPr>
          <w:p>
            <w:pPr>
              <w:pStyle w:val="TableHeading"/>
              <w:suppressLineNumbers/>
              <w:shd w:fill="1F3A5F" w:val="clear"/>
              <w:bidi w:val="0"/>
              <w:spacing w:before="0" w:after="283"/>
              <w:jc w:val="center"/>
              <w:rPr/>
            </w:pPr>
            <w:r>
              <w:rPr/>
              <w:t>Retention</w:t>
            </w:r>
          </w:p>
        </w:tc>
      </w:tr>
      <w:tr>
        <w:trPr/>
        <w:tc>
          <w:tcPr>
            <w:tcW w:w="4236" w:type="dxa"/>
            <w:tcBorders/>
            <w:vAlign w:val="center"/>
          </w:tcPr>
          <w:p>
            <w:pPr>
              <w:pStyle w:val="TableContents"/>
              <w:bidi w:val="0"/>
              <w:spacing w:before="0" w:after="283"/>
              <w:jc w:val="left"/>
              <w:rPr/>
            </w:pPr>
            <w:r>
              <w:rPr/>
              <w:t>Competence matrix (role → competence area → level held → evidence)</w:t>
            </w:r>
          </w:p>
        </w:tc>
        <w:tc>
          <w:tcPr>
            <w:tcW w:w="4194" w:type="dxa"/>
            <w:tcBorders/>
            <w:vAlign w:val="center"/>
          </w:tcPr>
          <w:p>
            <w:pPr>
              <w:pStyle w:val="TableContents"/>
              <w:bidi w:val="0"/>
              <w:spacing w:before="0" w:after="283"/>
              <w:jc w:val="left"/>
              <w:rPr/>
            </w:pPr>
            <w:r>
              <w:rPr>
                <w:rStyle w:val="SourceText"/>
              </w:rPr>
              <w:t>registers/REG-05_Competence_and_Training_Record.md</w:t>
            </w:r>
          </w:p>
        </w:tc>
        <w:tc>
          <w:tcPr>
            <w:tcW w:w="2909" w:type="dxa"/>
            <w:tcBorders/>
            <w:vAlign w:val="center"/>
          </w:tcPr>
          <w:p>
            <w:pPr>
              <w:pStyle w:val="TableContents"/>
              <w:bidi w:val="0"/>
              <w:spacing w:before="0" w:after="283"/>
              <w:jc w:val="left"/>
              <w:rPr/>
            </w:pPr>
            <w:r>
              <w:rPr/>
              <w:t>Duration of engagement + 3 years (SOP-01 §8)</w:t>
            </w:r>
          </w:p>
        </w:tc>
      </w:tr>
      <w:tr>
        <w:trPr/>
        <w:tc>
          <w:tcPr>
            <w:tcW w:w="4236" w:type="dxa"/>
            <w:tcBorders/>
            <w:vAlign w:val="center"/>
          </w:tcPr>
          <w:p>
            <w:pPr>
              <w:pStyle w:val="TableContents"/>
              <w:bidi w:val="0"/>
              <w:spacing w:before="0" w:after="283"/>
              <w:jc w:val="left"/>
              <w:rPr/>
            </w:pPr>
            <w:r>
              <w:rPr/>
              <w:t>Training and awareness record</w:t>
            </w:r>
          </w:p>
        </w:tc>
        <w:tc>
          <w:tcPr>
            <w:tcW w:w="4194" w:type="dxa"/>
            <w:tcBorders/>
            <w:vAlign w:val="center"/>
          </w:tcPr>
          <w:p>
            <w:pPr>
              <w:pStyle w:val="TableContents"/>
              <w:bidi w:val="0"/>
              <w:spacing w:before="0" w:after="283"/>
              <w:jc w:val="left"/>
              <w:rPr/>
            </w:pPr>
            <w:r>
              <w:rPr>
                <w:rStyle w:val="SourceText"/>
              </w:rPr>
              <w:t>registers/REG-05_Competence_and_Training_Record.md</w:t>
            </w:r>
          </w:p>
        </w:tc>
        <w:tc>
          <w:tcPr>
            <w:tcW w:w="2909" w:type="dxa"/>
            <w:tcBorders/>
            <w:vAlign w:val="center"/>
          </w:tcPr>
          <w:p>
            <w:pPr>
              <w:pStyle w:val="TableContents"/>
              <w:bidi w:val="0"/>
              <w:spacing w:before="0" w:after="283"/>
              <w:jc w:val="left"/>
              <w:rPr/>
            </w:pPr>
            <w:r>
              <w:rPr/>
              <w:t>As above</w:t>
            </w:r>
          </w:p>
        </w:tc>
      </w:tr>
      <w:tr>
        <w:trPr/>
        <w:tc>
          <w:tcPr>
            <w:tcW w:w="4236" w:type="dxa"/>
            <w:tcBorders/>
            <w:vAlign w:val="center"/>
          </w:tcPr>
          <w:p>
            <w:pPr>
              <w:pStyle w:val="TableContents"/>
              <w:bidi w:val="0"/>
              <w:spacing w:before="0" w:after="283"/>
              <w:jc w:val="left"/>
              <w:rPr/>
            </w:pPr>
            <w:r>
              <w:rPr/>
              <w:t>Evidence of competence from delivered work</w:t>
            </w:r>
          </w:p>
        </w:tc>
        <w:tc>
          <w:tcPr>
            <w:tcW w:w="4194" w:type="dxa"/>
            <w:tcBorders/>
            <w:vAlign w:val="center"/>
          </w:tcPr>
          <w:p>
            <w:pPr>
              <w:pStyle w:val="TableContents"/>
              <w:bidi w:val="0"/>
              <w:spacing w:before="0" w:after="283"/>
              <w:jc w:val="left"/>
              <w:rPr/>
            </w:pPr>
            <w:r>
              <w:rPr/>
              <w:t xml:space="preserve">Git commit history; </w:t>
            </w:r>
            <w:r>
              <w:rPr>
                <w:rStyle w:val="SourceText"/>
              </w:rPr>
              <w:t>eval/reports/</w:t>
            </w:r>
            <w:r>
              <w:rPr/>
              <w:t xml:space="preserve">; </w:t>
            </w:r>
            <w:r>
              <w:rPr>
                <w:rStyle w:val="SourceText"/>
              </w:rPr>
              <w:t>eval/paper/results/</w:t>
            </w:r>
          </w:p>
        </w:tc>
        <w:tc>
          <w:tcPr>
            <w:tcW w:w="2909" w:type="dxa"/>
            <w:tcBorders/>
            <w:vAlign w:val="center"/>
          </w:tcPr>
          <w:p>
            <w:pPr>
              <w:pStyle w:val="TableContents"/>
              <w:bidi w:val="0"/>
              <w:spacing w:before="0" w:after="283"/>
              <w:jc w:val="left"/>
              <w:rPr/>
            </w:pPr>
            <w:r>
              <w:rPr/>
              <w:t>Per SOP-01 §8</w:t>
            </w:r>
          </w:p>
        </w:tc>
      </w:tr>
      <w:tr>
        <w:trPr/>
        <w:tc>
          <w:tcPr>
            <w:tcW w:w="4236" w:type="dxa"/>
            <w:tcBorders/>
            <w:vAlign w:val="center"/>
          </w:tcPr>
          <w:p>
            <w:pPr>
              <w:pStyle w:val="TableContents"/>
              <w:bidi w:val="0"/>
              <w:spacing w:before="0" w:after="283"/>
              <w:jc w:val="left"/>
              <w:rPr/>
            </w:pPr>
            <w:r>
              <w:rPr/>
              <w:t>Induction record (quality policy, this procedure, SOP-01, SOP-05 §7)</w:t>
            </w:r>
          </w:p>
        </w:tc>
        <w:tc>
          <w:tcPr>
            <w:tcW w:w="4194" w:type="dxa"/>
            <w:tcBorders/>
            <w:vAlign w:val="center"/>
          </w:tcPr>
          <w:p>
            <w:pPr>
              <w:pStyle w:val="TableContents"/>
              <w:bidi w:val="0"/>
              <w:spacing w:before="0" w:after="283"/>
              <w:jc w:val="left"/>
              <w:rPr/>
            </w:pPr>
            <w:r>
              <w:rPr>
                <w:rStyle w:val="SourceText"/>
              </w:rPr>
              <w:t>registers/REG-05_Competence_and_Training_Record.md</w:t>
            </w:r>
          </w:p>
        </w:tc>
        <w:tc>
          <w:tcPr>
            <w:tcW w:w="2909" w:type="dxa"/>
            <w:tcBorders/>
            <w:vAlign w:val="center"/>
          </w:tcPr>
          <w:p>
            <w:pPr>
              <w:pStyle w:val="TableContents"/>
              <w:bidi w:val="0"/>
              <w:spacing w:before="0" w:after="283"/>
              <w:jc w:val="left"/>
              <w:rPr/>
            </w:pPr>
            <w:r>
              <w:rPr/>
              <w:t>As above</w:t>
            </w:r>
          </w:p>
        </w:tc>
      </w:tr>
      <w:tr>
        <w:trPr/>
        <w:tc>
          <w:tcPr>
            <w:tcW w:w="4236" w:type="dxa"/>
            <w:tcBorders/>
            <w:vAlign w:val="center"/>
          </w:tcPr>
          <w:p>
            <w:pPr>
              <w:pStyle w:val="TableContents"/>
              <w:bidi w:val="0"/>
              <w:spacing w:before="0" w:after="283"/>
              <w:jc w:val="left"/>
              <w:rPr/>
            </w:pPr>
            <w:r>
              <w:rPr/>
              <w:t>External knowledge sources in use</w:t>
            </w:r>
          </w:p>
        </w:tc>
        <w:tc>
          <w:tcPr>
            <w:tcW w:w="4194" w:type="dxa"/>
            <w:tcBorders/>
            <w:vAlign w:val="center"/>
          </w:tcPr>
          <w:p>
            <w:pPr>
              <w:pStyle w:val="TableContents"/>
              <w:bidi w:val="0"/>
              <w:spacing w:before="0" w:after="283"/>
              <w:jc w:val="left"/>
              <w:rPr/>
            </w:pPr>
            <w:r>
              <w:rPr>
                <w:rStyle w:val="SourceText"/>
              </w:rPr>
              <w:t>registers/REG-02_External_Documents_and_Providers.md</w:t>
            </w:r>
          </w:p>
        </w:tc>
        <w:tc>
          <w:tcPr>
            <w:tcW w:w="2909" w:type="dxa"/>
            <w:tcBorders/>
            <w:vAlign w:val="center"/>
          </w:tcPr>
          <w:p>
            <w:pPr>
              <w:pStyle w:val="TableContents"/>
              <w:bidi w:val="0"/>
              <w:spacing w:before="0" w:after="283"/>
              <w:jc w:val="left"/>
              <w:rPr/>
            </w:pPr>
            <w:r>
              <w:rPr/>
              <w:t>Life of the QMS + 3 years</w:t>
            </w:r>
          </w:p>
        </w:tc>
      </w:tr>
    </w:tbl>
    <w:p>
      <w:pPr>
        <w:pStyle w:val="Heading2"/>
        <w:bidi w:val="0"/>
        <w:jc w:val="left"/>
        <w:rPr/>
      </w:pPr>
      <w:r>
        <w:rPr/>
        <w:t>10. Current state and gaps</w:t>
      </w:r>
    </w:p>
    <w:p>
      <w:pPr>
        <w:pStyle w:val="BodyText"/>
        <w:bidi w:val="0"/>
        <w:jc w:val="left"/>
        <w:rPr/>
      </w:pPr>
      <w:r>
        <w:rPr>
          <w:rStyle w:val="Strong"/>
        </w:rPr>
        <w:t>No competence matrix exists.</w:t>
      </w:r>
      <w:r>
        <w:rPr/>
        <w:t xml:space="preserve"> </w:t>
      </w:r>
      <w:r>
        <w:rPr>
          <w:rStyle w:val="SourceText"/>
        </w:rPr>
        <w:t>registers/REG-05_Competence_and_Training_Record.md</w:t>
      </w:r>
      <w:r>
        <w:rPr/>
        <w:t xml:space="preserve"> is created by this QMS and is empty of assessed entries until the Managing Director completes it. The competence areas in §4 are determined from the work in the repository; the assessment of who holds them is not yet made.</w:t>
      </w:r>
    </w:p>
    <w:p>
      <w:pPr>
        <w:pStyle w:val="BodyText"/>
        <w:bidi w:val="0"/>
        <w:jc w:val="left"/>
        <w:rPr/>
      </w:pPr>
      <w:r>
        <w:rPr>
          <w:rStyle w:val="Strong"/>
        </w:rPr>
        <w:t>No training records exist.</w:t>
      </w:r>
      <w:r>
        <w:rPr/>
        <w:t xml:space="preserve"> There is no </w:t>
      </w:r>
      <w:r>
        <w:rPr>
          <w:rStyle w:val="SourceText"/>
        </w:rPr>
        <w:t>registers/REG-05_Competence_and_Training_Record.md</w:t>
      </w:r>
      <w:r>
        <w:rPr/>
        <w:t xml:space="preserve"> content, no certificates referenced anywhere in the repository, and no record of any training having been taken. This does not mean no learning occurred — the repository is evidence that a great deal did — it means none of it was recorded as required by 7.2(d).</w:t>
      </w:r>
    </w:p>
    <w:p>
      <w:pPr>
        <w:pStyle w:val="BodyText"/>
        <w:bidi w:val="0"/>
        <w:jc w:val="left"/>
        <w:rPr/>
      </w:pPr>
      <w:r>
        <w:rPr>
          <w:rStyle w:val="Strong"/>
        </w:rPr>
        <w:t>No induction material exists.</w:t>
      </w:r>
      <w:r>
        <w:rPr/>
        <w:t xml:space="preserve"> There is nothing in the repository that a new contributor could read to be brought up to the required awareness under 7.3. Until one exists, </w:t>
      </w:r>
      <w:r>
        <w:rPr>
          <w:rStyle w:val="SourceText"/>
        </w:rPr>
        <w:t>QP-01</w:t>
      </w:r>
      <w:r>
        <w:rPr/>
        <w:t xml:space="preserve">, this procedure, </w:t>
      </w:r>
      <w:r>
        <w:rPr>
          <w:rStyle w:val="SourceText"/>
        </w:rPr>
        <w:t>SOP-01</w:t>
      </w:r>
      <w:r>
        <w:rPr/>
        <w:t xml:space="preserve"> §9 and </w:t>
      </w:r>
      <w:r>
        <w:rPr>
          <w:rStyle w:val="SourceText"/>
        </w:rPr>
        <w:t>SOP-05</w:t>
      </w:r>
      <w:r>
        <w:rPr/>
        <w:t xml:space="preserve"> §7 are the reading list, and the induction record is a signed entry in the training record.</w:t>
      </w:r>
    </w:p>
    <w:p>
      <w:pPr>
        <w:pStyle w:val="BodyText"/>
        <w:bidi w:val="0"/>
        <w:jc w:val="left"/>
        <w:rPr/>
      </w:pPr>
      <w:r>
        <w:rPr>
          <w:rStyle w:val="Strong"/>
        </w:rPr>
        <w:t>Bus factor is 1.</w:t>
      </w:r>
      <w:r>
        <w:rPr/>
        <w:t xml:space="preserve"> The organisation has one developer, working under two Git identities (</w:t>
      </w:r>
      <w:r>
        <w:rPr>
          <w:rStyle w:val="SourceText"/>
        </w:rPr>
        <w:t>RW2523</w:t>
      </w:r>
      <w:r>
        <w:rPr/>
        <w:t xml:space="preserve"> and </w:t>
      </w:r>
      <w:r>
        <w:rPr>
          <w:rStyle w:val="SourceText"/>
        </w:rPr>
        <w:t>2523</w:t>
      </w:r>
      <w:r>
        <w:rPr/>
        <w:t xml:space="preserve">) with a single email address, across 202 commits from 2026-02-05 to </w:t>
      </w:r>
      <w:r>
        <w:rPr>
          <w:rStyle w:val="SourceText"/>
        </w:rPr>
        <w:t>ff29843</w:t>
      </w:r>
      <w:r>
        <w:rPr/>
        <w:t xml:space="preserve"> on 2026-09-21. Every specialised competence in §4 is held by that one person. There is no second person who could:</w:t>
      </w:r>
    </w:p>
    <w:p>
      <w:pPr>
        <w:pStyle w:val="BodyText"/>
        <w:numPr>
          <w:ilvl w:val="0"/>
          <w:numId w:val="3"/>
        </w:numPr>
        <w:tabs>
          <w:tab w:val="clear" w:pos="1134"/>
          <w:tab w:val="left" w:pos="709" w:leader="none"/>
        </w:tabs>
        <w:bidi w:val="0"/>
        <w:spacing w:before="0" w:after="0"/>
        <w:ind w:hanging="283" w:left="709"/>
        <w:jc w:val="left"/>
        <w:rPr/>
      </w:pPr>
      <w:r>
        <w:rPr/>
        <w:t xml:space="preserve">diagnose a GPU or driver-level failure on the reference hardware; </w:t>
      </w:r>
    </w:p>
    <w:p>
      <w:pPr>
        <w:pStyle w:val="BodyText"/>
        <w:numPr>
          <w:ilvl w:val="0"/>
          <w:numId w:val="3"/>
        </w:numPr>
        <w:tabs>
          <w:tab w:val="clear" w:pos="1134"/>
          <w:tab w:val="left" w:pos="709" w:leader="none"/>
        </w:tabs>
        <w:bidi w:val="0"/>
        <w:spacing w:before="0" w:after="0"/>
        <w:ind w:hanging="283" w:left="709"/>
        <w:jc w:val="left"/>
        <w:rPr/>
      </w:pPr>
      <w:r>
        <w:rPr/>
        <w:t xml:space="preserve">recover a deployment after a model-serving failure; </w:t>
      </w:r>
    </w:p>
    <w:p>
      <w:pPr>
        <w:pStyle w:val="BodyText"/>
        <w:numPr>
          <w:ilvl w:val="0"/>
          <w:numId w:val="3"/>
        </w:numPr>
        <w:tabs>
          <w:tab w:val="clear" w:pos="1134"/>
          <w:tab w:val="left" w:pos="709" w:leader="none"/>
        </w:tabs>
        <w:bidi w:val="0"/>
        <w:spacing w:before="0" w:after="0"/>
        <w:ind w:hanging="283" w:left="709"/>
        <w:jc w:val="left"/>
        <w:rPr/>
      </w:pPr>
      <w:r>
        <w:rPr/>
        <w:t xml:space="preserve">judge whether an AI-generated change is correct; </w:t>
      </w:r>
    </w:p>
    <w:p>
      <w:pPr>
        <w:pStyle w:val="BodyText"/>
        <w:numPr>
          <w:ilvl w:val="0"/>
          <w:numId w:val="3"/>
        </w:numPr>
        <w:tabs>
          <w:tab w:val="clear" w:pos="1134"/>
          <w:tab w:val="left" w:pos="709" w:leader="none"/>
        </w:tabs>
        <w:bidi w:val="0"/>
        <w:ind w:hanging="283" w:left="709"/>
        <w:jc w:val="left"/>
        <w:rPr/>
      </w:pPr>
      <w:r>
        <w:rPr/>
        <w:t xml:space="preserve">continue any customer engagement. </w:t>
      </w:r>
    </w:p>
    <w:p>
      <w:pPr>
        <w:pStyle w:val="BodyText"/>
        <w:bidi w:val="0"/>
        <w:jc w:val="left"/>
        <w:rPr/>
      </w:pPr>
      <w:r>
        <w:rPr/>
        <w:t xml:space="preserve">This is recorded in </w:t>
      </w:r>
      <w:r>
        <w:rPr>
          <w:rStyle w:val="SourceText"/>
        </w:rPr>
        <w:t>registers/REG-03_Risk_Register.md</w:t>
      </w:r>
      <w:r>
        <w:rPr/>
        <w:t xml:space="preserve"> under </w:t>
      </w:r>
      <w:r>
        <w:rPr>
          <w:rStyle w:val="SourceText"/>
        </w:rPr>
        <w:t>SOP-02</w:t>
      </w:r>
      <w:r>
        <w:rPr/>
        <w:t xml:space="preserve"> §7 and is, on that scale, a high-impact risk with no current treatment beyond the written documentation listed in §8.</w:t>
      </w:r>
    </w:p>
    <w:p>
      <w:pPr>
        <w:pStyle w:val="BodyText"/>
        <w:bidi w:val="0"/>
        <w:jc w:val="left"/>
        <w:rPr/>
      </w:pPr>
      <w:r>
        <w:rPr>
          <w:rStyle w:val="Strong"/>
        </w:rPr>
        <w:t>Awareness has not been formally delivered or recorded</w:t>
      </w:r>
      <w:r>
        <w:rPr/>
        <w:t xml:space="preserve">, because the quality policy </w:t>
      </w:r>
      <w:r>
        <w:rPr>
          <w:rStyle w:val="SourceText"/>
        </w:rPr>
        <w:t>QP-01</w:t>
      </w:r>
      <w:r>
        <w:rPr/>
        <w:t xml:space="preserve"> is itself still </w:t>
      </w:r>
      <w:r>
        <w:rPr>
          <w:rStyle w:val="SourceText"/>
        </w:rPr>
        <w:t>DRAFT — not yet approved</w:t>
      </w:r>
      <w:r>
        <w:rPr/>
        <w:t>. Awareness activity begins when the policy is approved.</w:t>
      </w:r>
    </w:p>
    <w:p>
      <w:pPr>
        <w:pStyle w:val="BodyText"/>
        <w:bidi w:val="0"/>
        <w:jc w:val="left"/>
        <w:rPr/>
      </w:pPr>
      <w:r>
        <w:rPr>
          <w:rStyle w:val="Strong"/>
        </w:rPr>
        <w:t>Self-assessment is the only assessment available.</w:t>
      </w:r>
      <w:r>
        <w:rPr/>
        <w:t xml:space="preserve"> With one person, the determination of competence, the judgement that it is sufficient, and the record of it are all made by the same person. An auditor should treat competence evidence here as self-declared and weigh the objective evidence — commit bodies, evaluation results, working deployment — more heavily than the declaration. Ajace AI states this openly rather than presenting the matrix as independently verified.</w:t>
      </w:r>
    </w:p>
    <w:p>
      <w:pPr>
        <w:pStyle w:val="BodyText"/>
        <w:bidi w:val="0"/>
        <w:spacing w:before="0" w:after="283"/>
        <w:jc w:val="left"/>
        <w:rPr/>
      </w:pPr>
      <w:r>
        <w:rPr/>
        <w:t xml:space="preserve">All gaps above are carried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