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SOP-14 — Nonconformity and Corrective Action</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SOP-14</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10.1, 10.2.1, 10.2.2, 10.3</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reacts to a nonconformity, controls and corrects its consequences, decides whether corrective action is needed, eliminates the cause so that it does not recur, verifies that the action was effective, and uses what it learns to improve the quality management system (QMS) and the product.</w:t>
      </w:r>
    </w:p>
    <w:p>
      <w:pPr>
        <w:pStyle w:val="Heading2"/>
        <w:bidi w:val="0"/>
        <w:jc w:val="left"/>
        <w:rPr/>
      </w:pPr>
      <w:r>
        <w:rPr/>
        <w:t>2. Scope</w:t>
      </w:r>
    </w:p>
    <w:p>
      <w:pPr>
        <w:pStyle w:val="BodyText"/>
        <w:bidi w:val="0"/>
        <w:jc w:val="left"/>
        <w:rPr/>
      </w:pPr>
      <w:r>
        <w:rPr/>
        <w:t>Every nonconformity affecting EchoMind Enterprise or the QMS, from any source: internal audit, evaluation failure, test failure, build or deployment failure, customer complaint, the organisation's own observation while building or operating the system, or the failure of an externally provided component.</w:t>
      </w:r>
    </w:p>
    <w:p>
      <w:pPr>
        <w:pStyle w:val="BodyText"/>
        <w:bidi w:val="0"/>
        <w:jc w:val="left"/>
        <w:rPr/>
      </w:pPr>
      <w:r>
        <w:rPr/>
        <w:t>Also covers nonconforming outputs under clause 8.7 — a build, release, model, index or generated artefact that does not meet requirements — and the continual improvement requirement of 10.3.</w:t>
      </w:r>
    </w:p>
    <w:p>
      <w:pPr>
        <w:pStyle w:val="Heading2"/>
        <w:bidi w:val="0"/>
        <w:jc w:val="left"/>
        <w:rPr/>
      </w:pPr>
      <w:r>
        <w:rPr/>
        <w:t>3. Definitions</w:t>
      </w:r>
    </w:p>
    <w:tbl>
      <w:tblPr>
        <w:tblW w:w="4893" w:type="dxa"/>
        <w:jc w:val="left"/>
        <w:tblInd w:w="0" w:type="dxa"/>
        <w:tblLayout w:type="fixed"/>
        <w:tblCellMar>
          <w:top w:w="28" w:type="dxa"/>
          <w:left w:w="28" w:type="dxa"/>
          <w:bottom w:w="28" w:type="dxa"/>
          <w:right w:w="28" w:type="dxa"/>
        </w:tblCellMar>
      </w:tblPr>
      <w:tblGrid>
        <w:gridCol w:w="1508"/>
        <w:gridCol w:w="3385"/>
      </w:tblGrid>
      <w:tr>
        <w:trPr>
          <w:tblHeader w:val="true"/>
        </w:trPr>
        <w:tc>
          <w:tcPr>
            <w:tcW w:w="1508" w:type="dxa"/>
            <w:tcBorders/>
            <w:vAlign w:val="center"/>
          </w:tcPr>
          <w:p>
            <w:pPr>
              <w:pStyle w:val="TableHeading"/>
              <w:suppressLineNumbers/>
              <w:shd w:fill="1F3A5F" w:val="clear"/>
              <w:bidi w:val="0"/>
              <w:spacing w:before="0" w:after="283"/>
              <w:jc w:val="center"/>
              <w:rPr/>
            </w:pPr>
            <w:r>
              <w:rPr/>
              <w:t>Term</w:t>
            </w:r>
          </w:p>
        </w:tc>
        <w:tc>
          <w:tcPr>
            <w:tcW w:w="3385" w:type="dxa"/>
            <w:tcBorders/>
            <w:vAlign w:val="center"/>
          </w:tcPr>
          <w:p>
            <w:pPr>
              <w:pStyle w:val="TableHeading"/>
              <w:suppressLineNumbers/>
              <w:shd w:fill="1F3A5F" w:val="clear"/>
              <w:bidi w:val="0"/>
              <w:spacing w:before="0" w:after="283"/>
              <w:jc w:val="center"/>
              <w:rPr/>
            </w:pPr>
            <w:r>
              <w:rPr/>
              <w:t>Meaning here</w:t>
            </w:r>
          </w:p>
        </w:tc>
      </w:tr>
      <w:tr>
        <w:trPr/>
        <w:tc>
          <w:tcPr>
            <w:tcW w:w="1508" w:type="dxa"/>
            <w:tcBorders/>
            <w:vAlign w:val="center"/>
          </w:tcPr>
          <w:p>
            <w:pPr>
              <w:pStyle w:val="TableContents"/>
              <w:bidi w:val="0"/>
              <w:spacing w:before="0" w:after="283"/>
              <w:jc w:val="left"/>
              <w:rPr/>
            </w:pPr>
            <w:r>
              <w:rPr>
                <w:rStyle w:val="Strong"/>
              </w:rPr>
              <w:t>Nonconformity (NC)</w:t>
            </w:r>
          </w:p>
        </w:tc>
        <w:tc>
          <w:tcPr>
            <w:tcW w:w="3385" w:type="dxa"/>
            <w:tcBorders/>
            <w:vAlign w:val="center"/>
          </w:tcPr>
          <w:p>
            <w:pPr>
              <w:pStyle w:val="TableContents"/>
              <w:bidi w:val="0"/>
              <w:spacing w:before="0" w:after="283"/>
              <w:jc w:val="left"/>
              <w:rPr/>
            </w:pPr>
            <w:r>
              <w:rPr/>
              <w:t>Non-fulfilment of a requirement. The requirement may be a customer requirement, a statutory or regulatory requirement, an ISO 9001:2015 requirement, or a requirement Ajace AI has set itself in this QMS or in a design input.</w:t>
            </w:r>
          </w:p>
        </w:tc>
      </w:tr>
      <w:tr>
        <w:trPr/>
        <w:tc>
          <w:tcPr>
            <w:tcW w:w="1508" w:type="dxa"/>
            <w:tcBorders/>
            <w:vAlign w:val="center"/>
          </w:tcPr>
          <w:p>
            <w:pPr>
              <w:pStyle w:val="TableContents"/>
              <w:bidi w:val="0"/>
              <w:spacing w:before="0" w:after="283"/>
              <w:jc w:val="left"/>
              <w:rPr/>
            </w:pPr>
            <w:r>
              <w:rPr>
                <w:rStyle w:val="Strong"/>
              </w:rPr>
              <w:t>Correction</w:t>
            </w:r>
          </w:p>
        </w:tc>
        <w:tc>
          <w:tcPr>
            <w:tcW w:w="3385" w:type="dxa"/>
            <w:tcBorders/>
            <w:vAlign w:val="center"/>
          </w:tcPr>
          <w:p>
            <w:pPr>
              <w:pStyle w:val="TableContents"/>
              <w:bidi w:val="0"/>
              <w:spacing w:before="0" w:after="283"/>
              <w:jc w:val="left"/>
              <w:rPr/>
            </w:pPr>
            <w:r>
              <w:rPr/>
              <w:t>Action to eliminate the detected nonconformity itself. Fixing the broken thing. Does not address the cause.</w:t>
            </w:r>
          </w:p>
        </w:tc>
      </w:tr>
      <w:tr>
        <w:trPr/>
        <w:tc>
          <w:tcPr>
            <w:tcW w:w="1508" w:type="dxa"/>
            <w:tcBorders/>
            <w:vAlign w:val="center"/>
          </w:tcPr>
          <w:p>
            <w:pPr>
              <w:pStyle w:val="TableContents"/>
              <w:bidi w:val="0"/>
              <w:spacing w:before="0" w:after="283"/>
              <w:jc w:val="left"/>
              <w:rPr/>
            </w:pPr>
            <w:r>
              <w:rPr>
                <w:rStyle w:val="Strong"/>
              </w:rPr>
              <w:t>Containment</w:t>
            </w:r>
          </w:p>
        </w:tc>
        <w:tc>
          <w:tcPr>
            <w:tcW w:w="3385" w:type="dxa"/>
            <w:tcBorders/>
            <w:vAlign w:val="center"/>
          </w:tcPr>
          <w:p>
            <w:pPr>
              <w:pStyle w:val="TableContents"/>
              <w:bidi w:val="0"/>
              <w:spacing w:before="0" w:after="283"/>
              <w:jc w:val="left"/>
              <w:rPr/>
            </w:pPr>
            <w:r>
              <w:rPr/>
              <w:t>Action to limit the consequences while the correction is being made — stopping a release, disabling a feature, isolating an index, notifying an affected party.</w:t>
            </w:r>
          </w:p>
        </w:tc>
      </w:tr>
      <w:tr>
        <w:trPr/>
        <w:tc>
          <w:tcPr>
            <w:tcW w:w="1508" w:type="dxa"/>
            <w:tcBorders/>
            <w:vAlign w:val="center"/>
          </w:tcPr>
          <w:p>
            <w:pPr>
              <w:pStyle w:val="TableContents"/>
              <w:bidi w:val="0"/>
              <w:spacing w:before="0" w:after="283"/>
              <w:jc w:val="left"/>
              <w:rPr/>
            </w:pPr>
            <w:r>
              <w:rPr>
                <w:rStyle w:val="Strong"/>
              </w:rPr>
              <w:t>Corrective action</w:t>
            </w:r>
          </w:p>
        </w:tc>
        <w:tc>
          <w:tcPr>
            <w:tcW w:w="3385" w:type="dxa"/>
            <w:tcBorders/>
            <w:vAlign w:val="center"/>
          </w:tcPr>
          <w:p>
            <w:pPr>
              <w:pStyle w:val="TableContents"/>
              <w:bidi w:val="0"/>
              <w:spacing w:before="0" w:after="283"/>
              <w:jc w:val="left"/>
              <w:rPr/>
            </w:pPr>
            <w:r>
              <w:rPr/>
              <w:t xml:space="preserve">Action to eliminate the </w:t>
            </w:r>
            <w:r>
              <w:rPr>
                <w:rStyle w:val="Strong"/>
              </w:rPr>
              <w:t>cause</w:t>
            </w:r>
            <w:r>
              <w:rPr/>
              <w:t xml:space="preserve"> of a nonconformity so that it does not recur.</w:t>
            </w:r>
          </w:p>
        </w:tc>
      </w:tr>
      <w:tr>
        <w:trPr/>
        <w:tc>
          <w:tcPr>
            <w:tcW w:w="1508" w:type="dxa"/>
            <w:tcBorders/>
            <w:vAlign w:val="center"/>
          </w:tcPr>
          <w:p>
            <w:pPr>
              <w:pStyle w:val="TableContents"/>
              <w:bidi w:val="0"/>
              <w:spacing w:before="0" w:after="283"/>
              <w:jc w:val="left"/>
              <w:rPr/>
            </w:pPr>
            <w:r>
              <w:rPr>
                <w:rStyle w:val="Strong"/>
              </w:rPr>
              <w:t>Preventive action</w:t>
            </w:r>
          </w:p>
        </w:tc>
        <w:tc>
          <w:tcPr>
            <w:tcW w:w="3385" w:type="dxa"/>
            <w:tcBorders/>
            <w:vAlign w:val="center"/>
          </w:tcPr>
          <w:p>
            <w:pPr>
              <w:pStyle w:val="TableContents"/>
              <w:bidi w:val="0"/>
              <w:spacing w:before="0" w:after="283"/>
              <w:jc w:val="left"/>
              <w:rPr/>
            </w:pPr>
            <w:r>
              <w:rPr/>
              <w:t xml:space="preserve">Not a separate clause in ISO 9001:2015. Its intent is met by the risk and opportunity process in </w:t>
            </w:r>
            <w:r>
              <w:rPr>
                <w:rStyle w:val="SourceText"/>
              </w:rPr>
              <w:t>SOP-02</w:t>
            </w:r>
            <w:r>
              <w:rPr/>
              <w:t>.</w:t>
            </w:r>
          </w:p>
        </w:tc>
      </w:tr>
      <w:tr>
        <w:trPr/>
        <w:tc>
          <w:tcPr>
            <w:tcW w:w="1508" w:type="dxa"/>
            <w:tcBorders/>
            <w:vAlign w:val="center"/>
          </w:tcPr>
          <w:p>
            <w:pPr>
              <w:pStyle w:val="TableContents"/>
              <w:bidi w:val="0"/>
              <w:spacing w:before="0" w:after="283"/>
              <w:jc w:val="left"/>
              <w:rPr/>
            </w:pPr>
            <w:r>
              <w:rPr>
                <w:rStyle w:val="Strong"/>
              </w:rPr>
              <w:t>Effectiveness verification</w:t>
            </w:r>
          </w:p>
        </w:tc>
        <w:tc>
          <w:tcPr>
            <w:tcW w:w="3385" w:type="dxa"/>
            <w:tcBorders/>
            <w:vAlign w:val="center"/>
          </w:tcPr>
          <w:p>
            <w:pPr>
              <w:pStyle w:val="TableContents"/>
              <w:bidi w:val="0"/>
              <w:spacing w:before="0" w:after="283"/>
              <w:jc w:val="left"/>
              <w:rPr/>
            </w:pPr>
            <w:r>
              <w:rPr/>
              <w:t>Objective evidence, gathered after the corrective action was implemented, that the cause has actually been eliminated.</w:t>
            </w:r>
          </w:p>
        </w:tc>
      </w:tr>
    </w:tbl>
    <w:p>
      <w:pPr>
        <w:pStyle w:val="BodyText"/>
        <w:bidi w:val="0"/>
        <w:jc w:val="left"/>
        <w:rPr/>
      </w:pPr>
      <w:r>
        <w:rPr>
          <w:rStyle w:val="Strong"/>
        </w:rPr>
        <w:t>Correction is not corrective action.</w:t>
      </w:r>
      <w:r>
        <w:rPr/>
        <w:t xml:space="preserve"> A commit that fixes a bug is a correction. A commit that fixes the bug </w:t>
      </w:r>
      <w:r>
        <w:rPr>
          <w:rStyle w:val="Emphasis"/>
        </w:rPr>
        <w:t>and</w:t>
      </w:r>
      <w:r>
        <w:rPr/>
        <w:t xml:space="preserve"> adds the test that would have caught it, </w:t>
      </w:r>
      <w:r>
        <w:rPr>
          <w:rStyle w:val="Emphasis"/>
        </w:rPr>
        <w:t>and</w:t>
      </w:r>
      <w:r>
        <w:rPr/>
        <w:t xml:space="preserve"> whose absence caused the class of defect, is a correction plus corrective action. Most of the historical record at Ajace AI (§9) is the first without the second being tracked.</w:t>
      </w:r>
    </w:p>
    <w:p>
      <w:pPr>
        <w:pStyle w:val="Heading2"/>
        <w:bidi w:val="0"/>
        <w:jc w:val="left"/>
        <w:rPr/>
      </w:pPr>
      <w:r>
        <w:rPr/>
        <w:t>4. Responsibilities</w:t>
      </w:r>
    </w:p>
    <w:tbl>
      <w:tblPr>
        <w:tblW w:w="4893" w:type="dxa"/>
        <w:jc w:val="left"/>
        <w:tblInd w:w="0" w:type="dxa"/>
        <w:tblLayout w:type="fixed"/>
        <w:tblCellMar>
          <w:top w:w="28" w:type="dxa"/>
          <w:left w:w="28" w:type="dxa"/>
          <w:bottom w:w="28" w:type="dxa"/>
          <w:right w:w="28" w:type="dxa"/>
        </w:tblCellMar>
      </w:tblPr>
      <w:tblGrid>
        <w:gridCol w:w="1429"/>
        <w:gridCol w:w="3464"/>
      </w:tblGrid>
      <w:tr>
        <w:trPr>
          <w:tblHeader w:val="true"/>
        </w:trPr>
        <w:tc>
          <w:tcPr>
            <w:tcW w:w="1429" w:type="dxa"/>
            <w:tcBorders/>
            <w:vAlign w:val="center"/>
          </w:tcPr>
          <w:p>
            <w:pPr>
              <w:pStyle w:val="TableHeading"/>
              <w:suppressLineNumbers/>
              <w:shd w:fill="1F3A5F" w:val="clear"/>
              <w:bidi w:val="0"/>
              <w:spacing w:before="0" w:after="283"/>
              <w:jc w:val="center"/>
              <w:rPr/>
            </w:pPr>
            <w:r>
              <w:rPr/>
              <w:t>Role</w:t>
            </w:r>
          </w:p>
        </w:tc>
        <w:tc>
          <w:tcPr>
            <w:tcW w:w="3464" w:type="dxa"/>
            <w:tcBorders/>
            <w:vAlign w:val="center"/>
          </w:tcPr>
          <w:p>
            <w:pPr>
              <w:pStyle w:val="TableHeading"/>
              <w:suppressLineNumbers/>
              <w:shd w:fill="1F3A5F" w:val="clear"/>
              <w:bidi w:val="0"/>
              <w:spacing w:before="0" w:after="283"/>
              <w:jc w:val="center"/>
              <w:rPr/>
            </w:pPr>
            <w:r>
              <w:rPr/>
              <w:t>Responsibility</w:t>
            </w:r>
          </w:p>
        </w:tc>
      </w:tr>
      <w:tr>
        <w:trPr/>
        <w:tc>
          <w:tcPr>
            <w:tcW w:w="1429" w:type="dxa"/>
            <w:tcBorders/>
            <w:vAlign w:val="center"/>
          </w:tcPr>
          <w:p>
            <w:pPr>
              <w:pStyle w:val="TableContents"/>
              <w:bidi w:val="0"/>
              <w:spacing w:before="0" w:after="283"/>
              <w:jc w:val="left"/>
              <w:rPr/>
            </w:pPr>
            <w:r>
              <w:rPr/>
              <w:t>Anyone who observes a nonconformity</w:t>
            </w:r>
          </w:p>
        </w:tc>
        <w:tc>
          <w:tcPr>
            <w:tcW w:w="3464" w:type="dxa"/>
            <w:tcBorders/>
            <w:vAlign w:val="center"/>
          </w:tcPr>
          <w:p>
            <w:pPr>
              <w:pStyle w:val="TableContents"/>
              <w:bidi w:val="0"/>
              <w:spacing w:before="0" w:after="283"/>
              <w:jc w:val="left"/>
              <w:rPr/>
            </w:pPr>
            <w:r>
              <w:rPr/>
              <w:t>Raises it. Immediately, before deciding whether it matters. Judging severity is a later step performed on a record, not a filter applied before one exists.</w:t>
            </w:r>
          </w:p>
        </w:tc>
      </w:tr>
      <w:tr>
        <w:trPr/>
        <w:tc>
          <w:tcPr>
            <w:tcW w:w="1429" w:type="dxa"/>
            <w:tcBorders/>
            <w:vAlign w:val="center"/>
          </w:tcPr>
          <w:p>
            <w:pPr>
              <w:pStyle w:val="TableContents"/>
              <w:bidi w:val="0"/>
              <w:spacing w:before="0" w:after="283"/>
              <w:jc w:val="left"/>
              <w:rPr/>
            </w:pPr>
            <w:r>
              <w:rPr/>
              <w:t>Managing Director</w:t>
            </w:r>
          </w:p>
        </w:tc>
        <w:tc>
          <w:tcPr>
            <w:tcW w:w="3464" w:type="dxa"/>
            <w:tcBorders/>
            <w:vAlign w:val="center"/>
          </w:tcPr>
          <w:p>
            <w:pPr>
              <w:pStyle w:val="TableContents"/>
              <w:bidi w:val="0"/>
              <w:spacing w:before="0" w:after="283"/>
              <w:jc w:val="left"/>
              <w:rPr/>
            </w:pPr>
            <w:r>
              <w:rPr/>
              <w:t xml:space="preserve">Owns this procedure and </w:t>
            </w:r>
            <w:r>
              <w:rPr>
                <w:rStyle w:val="SourceText"/>
              </w:rPr>
              <w:t>registers/REG-04_Nonconformity_and_CAPA_Log.md</w:t>
            </w:r>
            <w:r>
              <w:rPr/>
              <w:t>. Decides severity, decides whether corrective action is required, assigns the owning role and the due date, authorises closure. Decides whether a customer must be notified.</w:t>
            </w:r>
          </w:p>
        </w:tc>
      </w:tr>
      <w:tr>
        <w:trPr/>
        <w:tc>
          <w:tcPr>
            <w:tcW w:w="1429" w:type="dxa"/>
            <w:tcBorders/>
            <w:vAlign w:val="center"/>
          </w:tcPr>
          <w:p>
            <w:pPr>
              <w:pStyle w:val="TableContents"/>
              <w:bidi w:val="0"/>
              <w:spacing w:before="0" w:after="283"/>
              <w:jc w:val="left"/>
              <w:rPr/>
            </w:pPr>
            <w:r>
              <w:rPr/>
              <w:t>Lead Engineer</w:t>
            </w:r>
          </w:p>
        </w:tc>
        <w:tc>
          <w:tcPr>
            <w:tcW w:w="3464" w:type="dxa"/>
            <w:tcBorders/>
            <w:vAlign w:val="center"/>
          </w:tcPr>
          <w:p>
            <w:pPr>
              <w:pStyle w:val="TableContents"/>
              <w:bidi w:val="0"/>
              <w:spacing w:before="0" w:after="283"/>
              <w:jc w:val="left"/>
              <w:rPr/>
            </w:pPr>
            <w:r>
              <w:rPr/>
              <w:t>Performs containment and correction. Conducts root-cause analysis. Implements corrective action and records the evidence in the commit.</w:t>
            </w:r>
          </w:p>
        </w:tc>
      </w:tr>
      <w:tr>
        <w:trPr/>
        <w:tc>
          <w:tcPr>
            <w:tcW w:w="1429" w:type="dxa"/>
            <w:tcBorders/>
            <w:vAlign w:val="center"/>
          </w:tcPr>
          <w:p>
            <w:pPr>
              <w:pStyle w:val="TableContents"/>
              <w:bidi w:val="0"/>
              <w:spacing w:before="0" w:after="283"/>
              <w:jc w:val="left"/>
              <w:rPr/>
            </w:pPr>
            <w:r>
              <w:rPr/>
              <w:t>Verifier</w:t>
            </w:r>
          </w:p>
        </w:tc>
        <w:tc>
          <w:tcPr>
            <w:tcW w:w="3464" w:type="dxa"/>
            <w:tcBorders/>
            <w:vAlign w:val="center"/>
          </w:tcPr>
          <w:p>
            <w:pPr>
              <w:pStyle w:val="TableContents"/>
              <w:bidi w:val="0"/>
              <w:spacing w:before="0" w:after="283"/>
              <w:jc w:val="left"/>
              <w:rPr/>
            </w:pPr>
            <w:r>
              <w:rPr/>
              <w:t>Verifies effectiveness (§8). Where more than one person exists, the verifier is not the person who implemented the action.</w:t>
            </w:r>
          </w:p>
        </w:tc>
      </w:tr>
    </w:tbl>
    <w:p>
      <w:pPr>
        <w:pStyle w:val="BodyText"/>
        <w:bidi w:val="0"/>
        <w:jc w:val="left"/>
        <w:rPr/>
      </w:pPr>
      <w:r>
        <w:rPr/>
        <w:t xml:space="preserve">Ajace AI currently has one person holding all of these roles. The consequence — that implementation and verification of effectiveness are performed by the same person — is recorded in §11 and must be stated on each record in the </w:t>
      </w:r>
      <w:r>
        <w:rPr>
          <w:rStyle w:val="Emphasis"/>
        </w:rPr>
        <w:t>verified by</w:t>
      </w:r>
      <w:r>
        <w:rPr/>
        <w:t xml:space="preserve"> field of </w:t>
      </w:r>
      <w:r>
        <w:rPr>
          <w:rStyle w:val="SourceText"/>
        </w:rPr>
        <w:t>FRM-05</w:t>
      </w:r>
      <w:r>
        <w:rPr/>
        <w:t>.</w:t>
      </w:r>
    </w:p>
    <w:p>
      <w:pPr>
        <w:pStyle w:val="Heading2"/>
        <w:bidi w:val="0"/>
        <w:jc w:val="left"/>
        <w:rPr/>
      </w:pPr>
      <w:r>
        <w:rPr/>
        <w:t>5. Raising a nonconformity (10.2.1)</w:t>
      </w:r>
    </w:p>
    <w:p>
      <w:pPr>
        <w:pStyle w:val="BodyText"/>
        <w:bidi w:val="0"/>
        <w:jc w:val="left"/>
        <w:rPr/>
      </w:pPr>
      <w:r>
        <w:rPr/>
        <w:t xml:space="preserve">Any of the following </w:t>
      </w:r>
      <w:r>
        <w:rPr>
          <w:rStyle w:val="Strong"/>
        </w:rPr>
        <w:t>shall</w:t>
      </w:r>
      <w:r>
        <w:rPr/>
        <w:t xml:space="preserve"> result in a nonconformity record:</w:t>
      </w:r>
    </w:p>
    <w:tbl>
      <w:tblPr>
        <w:tblW w:w="4893" w:type="dxa"/>
        <w:jc w:val="left"/>
        <w:tblInd w:w="0" w:type="dxa"/>
        <w:tblLayout w:type="fixed"/>
        <w:tblCellMar>
          <w:top w:w="28" w:type="dxa"/>
          <w:left w:w="28" w:type="dxa"/>
          <w:bottom w:w="28" w:type="dxa"/>
          <w:right w:w="28" w:type="dxa"/>
        </w:tblCellMar>
      </w:tblPr>
      <w:tblGrid>
        <w:gridCol w:w="1184"/>
        <w:gridCol w:w="3709"/>
      </w:tblGrid>
      <w:tr>
        <w:trPr>
          <w:tblHeader w:val="true"/>
        </w:trPr>
        <w:tc>
          <w:tcPr>
            <w:tcW w:w="1184" w:type="dxa"/>
            <w:tcBorders/>
            <w:vAlign w:val="center"/>
          </w:tcPr>
          <w:p>
            <w:pPr>
              <w:pStyle w:val="TableHeading"/>
              <w:suppressLineNumbers/>
              <w:shd w:fill="1F3A5F" w:val="clear"/>
              <w:bidi w:val="0"/>
              <w:spacing w:before="0" w:after="283"/>
              <w:jc w:val="center"/>
              <w:rPr/>
            </w:pPr>
            <w:r>
              <w:rPr/>
              <w:t>Source</w:t>
            </w:r>
          </w:p>
        </w:tc>
        <w:tc>
          <w:tcPr>
            <w:tcW w:w="3709" w:type="dxa"/>
            <w:tcBorders/>
            <w:vAlign w:val="center"/>
          </w:tcPr>
          <w:p>
            <w:pPr>
              <w:pStyle w:val="TableHeading"/>
              <w:suppressLineNumbers/>
              <w:shd w:fill="1F3A5F" w:val="clear"/>
              <w:bidi w:val="0"/>
              <w:spacing w:before="0" w:after="283"/>
              <w:jc w:val="center"/>
              <w:rPr/>
            </w:pPr>
            <w:r>
              <w:rPr/>
              <w:t>Trigger</w:t>
            </w:r>
          </w:p>
        </w:tc>
      </w:tr>
      <w:tr>
        <w:trPr/>
        <w:tc>
          <w:tcPr>
            <w:tcW w:w="1184" w:type="dxa"/>
            <w:tcBorders/>
            <w:vAlign w:val="center"/>
          </w:tcPr>
          <w:p>
            <w:pPr>
              <w:pStyle w:val="TableContents"/>
              <w:bidi w:val="0"/>
              <w:spacing w:before="0" w:after="283"/>
              <w:jc w:val="left"/>
              <w:rPr/>
            </w:pPr>
            <w:r>
              <w:rPr/>
              <w:t>Internal audit (</w:t>
            </w:r>
            <w:r>
              <w:rPr>
                <w:rStyle w:val="SourceText"/>
              </w:rPr>
              <w:t>SOP-13</w:t>
            </w:r>
            <w:r>
              <w:rPr/>
              <w:t>)</w:t>
            </w:r>
          </w:p>
        </w:tc>
        <w:tc>
          <w:tcPr>
            <w:tcW w:w="3709" w:type="dxa"/>
            <w:tcBorders/>
            <w:vAlign w:val="center"/>
          </w:tcPr>
          <w:p>
            <w:pPr>
              <w:pStyle w:val="TableContents"/>
              <w:bidi w:val="0"/>
              <w:spacing w:before="0" w:after="283"/>
              <w:jc w:val="left"/>
              <w:rPr/>
            </w:pPr>
            <w:r>
              <w:rPr/>
              <w:t>Any major or minor nonconformity finding</w:t>
            </w:r>
          </w:p>
        </w:tc>
      </w:tr>
      <w:tr>
        <w:trPr/>
        <w:tc>
          <w:tcPr>
            <w:tcW w:w="1184" w:type="dxa"/>
            <w:tcBorders/>
            <w:vAlign w:val="center"/>
          </w:tcPr>
          <w:p>
            <w:pPr>
              <w:pStyle w:val="TableContents"/>
              <w:bidi w:val="0"/>
              <w:spacing w:before="0" w:after="283"/>
              <w:jc w:val="left"/>
              <w:rPr/>
            </w:pPr>
            <w:r>
              <w:rPr/>
              <w:t>Evaluation</w:t>
            </w:r>
          </w:p>
        </w:tc>
        <w:tc>
          <w:tcPr>
            <w:tcW w:w="3709" w:type="dxa"/>
            <w:tcBorders/>
            <w:vAlign w:val="center"/>
          </w:tcPr>
          <w:p>
            <w:pPr>
              <w:pStyle w:val="TableContents"/>
              <w:bidi w:val="0"/>
              <w:spacing w:before="0" w:after="283"/>
              <w:jc w:val="left"/>
              <w:rPr/>
            </w:pPr>
            <w:r>
              <w:rPr/>
              <w:t>A drop in the 52-question golden evaluation against the previous recorded run, or any failing item that was previously passing (</w:t>
            </w:r>
            <w:r>
              <w:rPr>
                <w:rStyle w:val="SourceText"/>
              </w:rPr>
              <w:t>eval/run_eval.py</w:t>
            </w:r>
            <w:r>
              <w:rPr/>
              <w:t xml:space="preserve">; the suite gate is binary — </w:t>
            </w:r>
            <w:r>
              <w:rPr>
                <w:rStyle w:val="SourceText"/>
              </w:rPr>
              <w:t>return 0 if total_pass == len(results) else 1</w:t>
            </w:r>
            <w:r>
              <w:rPr/>
              <w:t xml:space="preserve"> at </w:t>
            </w:r>
            <w:r>
              <w:rPr>
                <w:rStyle w:val="SourceText"/>
              </w:rPr>
              <w:t>eval/run_eval.py:281</w:t>
            </w:r>
            <w:r>
              <w:rPr/>
              <w:t>)</w:t>
            </w:r>
          </w:p>
        </w:tc>
      </w:tr>
      <w:tr>
        <w:trPr/>
        <w:tc>
          <w:tcPr>
            <w:tcW w:w="1184" w:type="dxa"/>
            <w:tcBorders/>
            <w:vAlign w:val="center"/>
          </w:tcPr>
          <w:p>
            <w:pPr>
              <w:pStyle w:val="TableContents"/>
              <w:bidi w:val="0"/>
              <w:spacing w:before="0" w:after="283"/>
              <w:jc w:val="left"/>
              <w:rPr/>
            </w:pPr>
            <w:r>
              <w:rPr/>
              <w:t>Test failure</w:t>
            </w:r>
          </w:p>
        </w:tc>
        <w:tc>
          <w:tcPr>
            <w:tcW w:w="3709" w:type="dxa"/>
            <w:tcBorders/>
            <w:vAlign w:val="center"/>
          </w:tcPr>
          <w:p>
            <w:pPr>
              <w:pStyle w:val="TableContents"/>
              <w:bidi w:val="0"/>
              <w:spacing w:before="0" w:after="283"/>
              <w:jc w:val="left"/>
              <w:rPr/>
            </w:pPr>
            <w:r>
              <w:rPr/>
              <w:t xml:space="preserve">Any failing test in </w:t>
            </w:r>
            <w:r>
              <w:rPr>
                <w:rStyle w:val="SourceText"/>
              </w:rPr>
              <w:t>backend/tests/</w:t>
            </w:r>
            <w:r>
              <w:rPr/>
              <w:t xml:space="preserve"> or </w:t>
            </w:r>
            <w:r>
              <w:rPr>
                <w:rStyle w:val="SourceText"/>
              </w:rPr>
              <w:t>voice/tests/</w:t>
            </w:r>
            <w:r>
              <w:rPr/>
              <w:t xml:space="preserve"> that reaches </w:t>
            </w:r>
            <w:r>
              <w:rPr>
                <w:rStyle w:val="SourceText"/>
              </w:rPr>
              <w:t>main</w:t>
            </w:r>
          </w:p>
        </w:tc>
      </w:tr>
      <w:tr>
        <w:trPr/>
        <w:tc>
          <w:tcPr>
            <w:tcW w:w="1184" w:type="dxa"/>
            <w:tcBorders/>
            <w:vAlign w:val="center"/>
          </w:tcPr>
          <w:p>
            <w:pPr>
              <w:pStyle w:val="TableContents"/>
              <w:bidi w:val="0"/>
              <w:spacing w:before="0" w:after="283"/>
              <w:jc w:val="left"/>
              <w:rPr/>
            </w:pPr>
            <w:r>
              <w:rPr/>
              <w:t>Build or deployment failure</w:t>
            </w:r>
          </w:p>
        </w:tc>
        <w:tc>
          <w:tcPr>
            <w:tcW w:w="3709" w:type="dxa"/>
            <w:tcBorders/>
            <w:vAlign w:val="center"/>
          </w:tcPr>
          <w:p>
            <w:pPr>
              <w:pStyle w:val="TableContents"/>
              <w:bidi w:val="0"/>
              <w:spacing w:before="0" w:after="283"/>
              <w:jc w:val="left"/>
              <w:rPr/>
            </w:pPr>
            <w:r>
              <w:rPr/>
              <w:t>Any failure of a clean rebuild, or any container failing its healthcheck in a deployed environment</w:t>
            </w:r>
          </w:p>
        </w:tc>
      </w:tr>
      <w:tr>
        <w:trPr/>
        <w:tc>
          <w:tcPr>
            <w:tcW w:w="1184" w:type="dxa"/>
            <w:tcBorders/>
            <w:vAlign w:val="center"/>
          </w:tcPr>
          <w:p>
            <w:pPr>
              <w:pStyle w:val="TableContents"/>
              <w:bidi w:val="0"/>
              <w:spacing w:before="0" w:after="283"/>
              <w:jc w:val="left"/>
              <w:rPr/>
            </w:pPr>
            <w:r>
              <w:rPr/>
              <w:t>Customer complaint</w:t>
            </w:r>
          </w:p>
        </w:tc>
        <w:tc>
          <w:tcPr>
            <w:tcW w:w="3709" w:type="dxa"/>
            <w:tcBorders/>
            <w:vAlign w:val="center"/>
          </w:tcPr>
          <w:p>
            <w:pPr>
              <w:pStyle w:val="TableContents"/>
              <w:bidi w:val="0"/>
              <w:spacing w:before="0" w:after="283"/>
              <w:jc w:val="left"/>
              <w:rPr/>
            </w:pPr>
            <w:r>
              <w:rPr/>
              <w:t xml:space="preserve">Any complaint recorded under </w:t>
            </w:r>
            <w:r>
              <w:rPr>
                <w:rStyle w:val="SourceText"/>
              </w:rPr>
              <w:t>SOP-08</w:t>
            </w:r>
            <w:r>
              <w:rPr/>
              <w:t xml:space="preserve"> on </w:t>
            </w:r>
            <w:r>
              <w:rPr>
                <w:rStyle w:val="SourceText"/>
              </w:rPr>
              <w:t>forms/FRM-08_Customer_Feedback_and_Complaint_Record.md</w:t>
            </w:r>
          </w:p>
        </w:tc>
      </w:tr>
      <w:tr>
        <w:trPr/>
        <w:tc>
          <w:tcPr>
            <w:tcW w:w="1184" w:type="dxa"/>
            <w:tcBorders/>
            <w:vAlign w:val="center"/>
          </w:tcPr>
          <w:p>
            <w:pPr>
              <w:pStyle w:val="TableContents"/>
              <w:bidi w:val="0"/>
              <w:spacing w:before="0" w:after="283"/>
              <w:jc w:val="left"/>
              <w:rPr/>
            </w:pPr>
            <w:r>
              <w:rPr/>
              <w:t>Own observation</w:t>
            </w:r>
          </w:p>
        </w:tc>
        <w:tc>
          <w:tcPr>
            <w:tcW w:w="3709" w:type="dxa"/>
            <w:tcBorders/>
            <w:vAlign w:val="center"/>
          </w:tcPr>
          <w:p>
            <w:pPr>
              <w:pStyle w:val="TableContents"/>
              <w:bidi w:val="0"/>
              <w:spacing w:before="0" w:after="283"/>
              <w:jc w:val="left"/>
              <w:rPr/>
            </w:pPr>
            <w:r>
              <w:rPr/>
              <w:t>Anything a contributor recognises as not meeting a requirement, including a latent defect found while working on something else</w:t>
            </w:r>
          </w:p>
        </w:tc>
      </w:tr>
      <w:tr>
        <w:trPr/>
        <w:tc>
          <w:tcPr>
            <w:tcW w:w="1184" w:type="dxa"/>
            <w:tcBorders/>
            <w:vAlign w:val="center"/>
          </w:tcPr>
          <w:p>
            <w:pPr>
              <w:pStyle w:val="TableContents"/>
              <w:bidi w:val="0"/>
              <w:spacing w:before="0" w:after="283"/>
              <w:jc w:val="left"/>
              <w:rPr/>
            </w:pPr>
            <w:r>
              <w:rPr/>
              <w:t>External provider failure</w:t>
            </w:r>
          </w:p>
        </w:tc>
        <w:tc>
          <w:tcPr>
            <w:tcW w:w="3709" w:type="dxa"/>
            <w:tcBorders/>
            <w:vAlign w:val="center"/>
          </w:tcPr>
          <w:p>
            <w:pPr>
              <w:pStyle w:val="TableContents"/>
              <w:bidi w:val="0"/>
              <w:spacing w:before="0" w:after="283"/>
              <w:jc w:val="left"/>
              <w:rPr/>
            </w:pPr>
            <w:r>
              <w:rPr/>
              <w:t>A model, image, package or service that does not meet what was relied on — including a pinned dependency that moves (</w:t>
            </w:r>
            <w:r>
              <w:rPr>
                <w:rStyle w:val="SourceText"/>
              </w:rPr>
              <w:t>SOP-09</w:t>
            </w:r>
            <w:r>
              <w:rPr/>
              <w:t xml:space="preserve">, </w:t>
            </w:r>
            <w:r>
              <w:rPr>
                <w:rStyle w:val="SourceText"/>
              </w:rPr>
              <w:t>registers/REG-02_External_Documents_and_Providers.md</w:t>
            </w:r>
            <w:r>
              <w:rPr/>
              <w:t>)</w:t>
            </w:r>
          </w:p>
        </w:tc>
      </w:tr>
      <w:tr>
        <w:trPr/>
        <w:tc>
          <w:tcPr>
            <w:tcW w:w="1184" w:type="dxa"/>
            <w:tcBorders/>
            <w:vAlign w:val="center"/>
          </w:tcPr>
          <w:p>
            <w:pPr>
              <w:pStyle w:val="TableContents"/>
              <w:bidi w:val="0"/>
              <w:spacing w:before="0" w:after="283"/>
              <w:jc w:val="left"/>
              <w:rPr/>
            </w:pPr>
            <w:r>
              <w:rPr/>
              <w:t>QMS itself</w:t>
            </w:r>
          </w:p>
        </w:tc>
        <w:tc>
          <w:tcPr>
            <w:tcW w:w="3709" w:type="dxa"/>
            <w:tcBorders/>
            <w:vAlign w:val="center"/>
          </w:tcPr>
          <w:p>
            <w:pPr>
              <w:pStyle w:val="TableContents"/>
              <w:bidi w:val="0"/>
              <w:spacing w:before="0" w:after="283"/>
              <w:jc w:val="left"/>
              <w:rPr/>
            </w:pPr>
            <w:r>
              <w:rPr/>
              <w:t xml:space="preserve">A QMS requirement that the organisation cannot currently meet — for example auditor impartiality under </w:t>
            </w:r>
            <w:r>
              <w:rPr>
                <w:rStyle w:val="SourceText"/>
              </w:rPr>
              <w:t>SOP-13</w:t>
            </w:r>
            <w:r>
              <w:rPr/>
              <w:t xml:space="preserve"> §5</w:t>
            </w:r>
          </w:p>
        </w:tc>
      </w:tr>
    </w:tbl>
    <w:p>
      <w:pPr>
        <w:pStyle w:val="BodyText"/>
        <w:bidi w:val="0"/>
        <w:jc w:val="left"/>
        <w:rPr/>
      </w:pPr>
      <w:r>
        <w:rPr>
          <w:rStyle w:val="Strong"/>
        </w:rPr>
        <w:t>How.</w:t>
      </w:r>
      <w:r>
        <w:rPr/>
        <w:t xml:space="preserve"> Complete </w:t>
      </w:r>
      <w:r>
        <w:rPr>
          <w:rStyle w:val="SourceText"/>
        </w:rPr>
        <w:t>forms/FRM-05_Nonconformity_and_CAPA_Record.md</w:t>
      </w:r>
      <w:r>
        <w:rPr/>
        <w:t xml:space="preserve"> and add a line to </w:t>
      </w:r>
      <w:r>
        <w:rPr>
          <w:rStyle w:val="SourceText"/>
        </w:rPr>
        <w:t>registers/REG-04_Nonconformity_and_CAPA_Log.md</w:t>
      </w:r>
      <w:r>
        <w:rPr/>
        <w:t xml:space="preserve">. NC identifiers are sequential and never reused: </w:t>
      </w:r>
      <w:r>
        <w:rPr>
          <w:rStyle w:val="SourceText"/>
        </w:rPr>
        <w:t>NC-YYYY-nnn</w:t>
      </w:r>
      <w:r>
        <w:rPr/>
        <w:t>.</w:t>
      </w:r>
    </w:p>
    <w:p>
      <w:pPr>
        <w:pStyle w:val="BodyText"/>
        <w:bidi w:val="0"/>
        <w:jc w:val="left"/>
        <w:rPr/>
      </w:pPr>
      <w:r>
        <w:rPr>
          <w:rStyle w:val="Strong"/>
        </w:rPr>
        <w:t>Raise first, assess second.</w:t>
      </w:r>
      <w:r>
        <w:rPr/>
        <w:t xml:space="preserve"> A nonconformity that turns out on assessment to be trivial is closed as trivial with the reasoning recorded. A nonconformity never raised leaves no trace at all, and the pattern it belonged to cannot be seen later.</w:t>
      </w:r>
    </w:p>
    <w:p>
      <w:pPr>
        <w:pStyle w:val="Heading2"/>
        <w:bidi w:val="0"/>
        <w:jc w:val="left"/>
        <w:rPr/>
      </w:pPr>
      <w:r>
        <w:rPr/>
        <w:t>6. Correction, containment and control of nonconforming output (8.7, 10.2.1 a)</w:t>
      </w:r>
    </w:p>
    <w:p>
      <w:pPr>
        <w:pStyle w:val="BodyText"/>
        <w:bidi w:val="0"/>
        <w:jc w:val="left"/>
        <w:rPr/>
      </w:pPr>
      <w:r>
        <w:rPr/>
        <w:t xml:space="preserve">On raising the record, and </w:t>
      </w:r>
      <w:r>
        <w:rPr>
          <w:rStyle w:val="Strong"/>
        </w:rPr>
        <w:t>before</w:t>
      </w:r>
      <w:r>
        <w:rPr/>
        <w:t xml:space="preserve"> any analysis of cause:</w:t>
      </w:r>
    </w:p>
    <w:p>
      <w:pPr>
        <w:pStyle w:val="BodyText"/>
        <w:numPr>
          <w:ilvl w:val="0"/>
          <w:numId w:val="1"/>
        </w:numPr>
        <w:tabs>
          <w:tab w:val="clear" w:pos="1134"/>
          <w:tab w:val="left" w:pos="709" w:leader="none"/>
        </w:tabs>
        <w:bidi w:val="0"/>
        <w:spacing w:before="0" w:after="0"/>
        <w:ind w:hanging="283" w:left="709"/>
        <w:jc w:val="left"/>
        <w:rPr/>
      </w:pPr>
      <w:r>
        <w:rPr>
          <w:rStyle w:val="Strong"/>
        </w:rPr>
        <w:t>Determine the blast radius.</w:t>
      </w:r>
      <w:r>
        <w:rPr/>
        <w:t xml:space="preserve"> What is affected, and is any of it in a customer's hands? Record the affected releases, deployments, customers, indexes and data. Where nothing is deployed, say so on the record — an empty answer that was actually asked is evidence; a blank field is not. </w:t>
      </w:r>
    </w:p>
    <w:p>
      <w:pPr>
        <w:pStyle w:val="BodyText"/>
        <w:numPr>
          <w:ilvl w:val="0"/>
          <w:numId w:val="1"/>
        </w:numPr>
        <w:tabs>
          <w:tab w:val="clear" w:pos="1134"/>
          <w:tab w:val="left" w:pos="709" w:leader="none"/>
        </w:tabs>
        <w:bidi w:val="0"/>
        <w:ind w:hanging="283" w:left="709"/>
        <w:jc w:val="left"/>
        <w:rPr/>
      </w:pPr>
      <w:r>
        <w:rPr>
          <w:rStyle w:val="Strong"/>
        </w:rPr>
        <w:t>Contain.</w:t>
      </w:r>
      <w:r>
        <w:rPr/>
        <w:t xml:space="preserve"> Choose and record the containment action: </w:t>
      </w:r>
    </w:p>
    <w:tbl>
      <w:tblPr>
        <w:tblW w:w="4893" w:type="dxa"/>
        <w:jc w:val="left"/>
        <w:tblInd w:w="0" w:type="dxa"/>
        <w:tblLayout w:type="fixed"/>
        <w:tblCellMar>
          <w:top w:w="28" w:type="dxa"/>
          <w:left w:w="28" w:type="dxa"/>
          <w:bottom w:w="28" w:type="dxa"/>
          <w:right w:w="28" w:type="dxa"/>
        </w:tblCellMar>
      </w:tblPr>
      <w:tblGrid>
        <w:gridCol w:w="1483"/>
        <w:gridCol w:w="3410"/>
      </w:tblGrid>
      <w:tr>
        <w:trPr>
          <w:tblHeader w:val="true"/>
        </w:trPr>
        <w:tc>
          <w:tcPr>
            <w:tcW w:w="1483" w:type="dxa"/>
            <w:tcBorders/>
            <w:vAlign w:val="center"/>
          </w:tcPr>
          <w:p>
            <w:pPr>
              <w:pStyle w:val="TableHeading"/>
              <w:suppressLineNumbers/>
              <w:shd w:fill="1F3A5F" w:val="clear"/>
              <w:bidi w:val="0"/>
              <w:spacing w:before="0" w:after="283"/>
              <w:jc w:val="center"/>
              <w:rPr/>
            </w:pPr>
            <w:r>
              <w:rPr/>
              <w:t>Situation</w:t>
            </w:r>
          </w:p>
        </w:tc>
        <w:tc>
          <w:tcPr>
            <w:tcW w:w="3410" w:type="dxa"/>
            <w:tcBorders/>
            <w:vAlign w:val="center"/>
          </w:tcPr>
          <w:p>
            <w:pPr>
              <w:pStyle w:val="TableHeading"/>
              <w:suppressLineNumbers/>
              <w:shd w:fill="1F3A5F" w:val="clear"/>
              <w:bidi w:val="0"/>
              <w:spacing w:before="0" w:after="283"/>
              <w:jc w:val="center"/>
              <w:rPr/>
            </w:pPr>
            <w:r>
              <w:rPr/>
              <w:t>Containment</w:t>
            </w:r>
          </w:p>
        </w:tc>
      </w:tr>
      <w:tr>
        <w:trPr/>
        <w:tc>
          <w:tcPr>
            <w:tcW w:w="1483" w:type="dxa"/>
            <w:tcBorders/>
            <w:vAlign w:val="center"/>
          </w:tcPr>
          <w:p>
            <w:pPr>
              <w:pStyle w:val="TableContents"/>
              <w:bidi w:val="0"/>
              <w:spacing w:before="0" w:after="283"/>
              <w:jc w:val="left"/>
              <w:rPr/>
            </w:pPr>
            <w:r>
              <w:rPr/>
              <w:t>Defect is in an unreleased change</w:t>
            </w:r>
          </w:p>
        </w:tc>
        <w:tc>
          <w:tcPr>
            <w:tcW w:w="3410" w:type="dxa"/>
            <w:tcBorders/>
            <w:vAlign w:val="center"/>
          </w:tcPr>
          <w:p>
            <w:pPr>
              <w:pStyle w:val="TableContents"/>
              <w:bidi w:val="0"/>
              <w:spacing w:before="0" w:after="283"/>
              <w:jc w:val="left"/>
              <w:rPr/>
            </w:pPr>
            <w:r>
              <w:rPr/>
              <w:t>Do not release. Hold the release record (</w:t>
            </w:r>
            <w:r>
              <w:rPr>
                <w:rStyle w:val="SourceText"/>
              </w:rPr>
              <w:t>FRM-03</w:t>
            </w:r>
            <w:r>
              <w:rPr/>
              <w:t>) open.</w:t>
            </w:r>
          </w:p>
        </w:tc>
      </w:tr>
      <w:tr>
        <w:trPr/>
        <w:tc>
          <w:tcPr>
            <w:tcW w:w="1483" w:type="dxa"/>
            <w:tcBorders/>
            <w:vAlign w:val="center"/>
          </w:tcPr>
          <w:p>
            <w:pPr>
              <w:pStyle w:val="TableContents"/>
              <w:bidi w:val="0"/>
              <w:spacing w:before="0" w:after="283"/>
              <w:jc w:val="left"/>
              <w:rPr/>
            </w:pPr>
            <w:r>
              <w:rPr/>
              <w:t>Defect is in a deployed release</w:t>
            </w:r>
          </w:p>
        </w:tc>
        <w:tc>
          <w:tcPr>
            <w:tcW w:w="3410" w:type="dxa"/>
            <w:tcBorders/>
            <w:vAlign w:val="center"/>
          </w:tcPr>
          <w:p>
            <w:pPr>
              <w:pStyle w:val="TableContents"/>
              <w:bidi w:val="0"/>
              <w:spacing w:before="0" w:after="283"/>
              <w:jc w:val="left"/>
              <w:rPr/>
            </w:pPr>
            <w:r>
              <w:rPr/>
              <w:t xml:space="preserve">Roll back per the rollback plan on that release's </w:t>
            </w:r>
            <w:r>
              <w:rPr>
                <w:rStyle w:val="SourceText"/>
              </w:rPr>
              <w:t>FRM-03</w:t>
            </w:r>
            <w:r>
              <w:rPr/>
              <w:t xml:space="preserve">, or disable the affected feature by configuration. Commit </w:t>
            </w:r>
            <w:r>
              <w:rPr>
                <w:rStyle w:val="SourceText"/>
              </w:rPr>
              <w:t>2decb99</w:t>
            </w:r>
            <w:r>
              <w:rPr/>
              <w:t xml:space="preserve"> is the pattern for gating a feature off by default.</w:t>
            </w:r>
          </w:p>
        </w:tc>
      </w:tr>
      <w:tr>
        <w:trPr/>
        <w:tc>
          <w:tcPr>
            <w:tcW w:w="1483" w:type="dxa"/>
            <w:tcBorders/>
            <w:vAlign w:val="center"/>
          </w:tcPr>
          <w:p>
            <w:pPr>
              <w:pStyle w:val="TableContents"/>
              <w:bidi w:val="0"/>
              <w:spacing w:before="0" w:after="283"/>
              <w:jc w:val="left"/>
              <w:rPr/>
            </w:pPr>
            <w:r>
              <w:rPr/>
              <w:t>Defect affects data isolation or data residency</w:t>
            </w:r>
          </w:p>
        </w:tc>
        <w:tc>
          <w:tcPr>
            <w:tcW w:w="3410" w:type="dxa"/>
            <w:tcBorders/>
            <w:vAlign w:val="center"/>
          </w:tcPr>
          <w:p>
            <w:pPr>
              <w:pStyle w:val="TableContents"/>
              <w:bidi w:val="0"/>
              <w:spacing w:before="0" w:after="283"/>
              <w:jc w:val="left"/>
              <w:rPr/>
            </w:pPr>
            <w:r>
              <w:rPr/>
              <w:t xml:space="preserve">Stop use of the affected path immediately. Treat as severity </w:t>
            </w:r>
            <w:r>
              <w:rPr>
                <w:rStyle w:val="Strong"/>
              </w:rPr>
              <w:t>Critical</w:t>
            </w:r>
            <w:r>
              <w:rPr/>
              <w:t xml:space="preserve"> and go to step 3 without waiting.</w:t>
            </w:r>
          </w:p>
        </w:tc>
      </w:tr>
      <w:tr>
        <w:trPr/>
        <w:tc>
          <w:tcPr>
            <w:tcW w:w="1483" w:type="dxa"/>
            <w:tcBorders/>
            <w:vAlign w:val="center"/>
          </w:tcPr>
          <w:p>
            <w:pPr>
              <w:pStyle w:val="TableContents"/>
              <w:bidi w:val="0"/>
              <w:spacing w:before="0" w:after="283"/>
              <w:jc w:val="left"/>
              <w:rPr/>
            </w:pPr>
            <w:r>
              <w:rPr/>
              <w:t>Defect is in an externally provided component</w:t>
            </w:r>
          </w:p>
        </w:tc>
        <w:tc>
          <w:tcPr>
            <w:tcW w:w="3410" w:type="dxa"/>
            <w:tcBorders/>
            <w:vAlign w:val="center"/>
          </w:tcPr>
          <w:p>
            <w:pPr>
              <w:pStyle w:val="TableContents"/>
              <w:bidi w:val="0"/>
              <w:spacing w:before="0" w:after="283"/>
              <w:jc w:val="left"/>
              <w:rPr/>
            </w:pPr>
            <w:r>
              <w:rPr/>
              <w:t>Pin to the last known-good version, or remove the component from the runtime path.</w:t>
            </w:r>
          </w:p>
        </w:tc>
      </w:tr>
    </w:tbl>
    <w:p>
      <w:pPr>
        <w:pStyle w:val="BodyText"/>
        <w:numPr>
          <w:ilvl w:val="0"/>
          <w:numId w:val="2"/>
        </w:numPr>
        <w:tabs>
          <w:tab w:val="clear" w:pos="1134"/>
          <w:tab w:val="left" w:pos="709" w:leader="none"/>
        </w:tabs>
        <w:bidi w:val="0"/>
        <w:spacing w:before="0" w:after="0"/>
        <w:ind w:hanging="283" w:left="709"/>
        <w:jc w:val="left"/>
        <w:rPr/>
      </w:pPr>
      <w:r>
        <w:rPr>
          <w:rStyle w:val="Strong"/>
        </w:rPr>
        <w:t>Decide on notification.</w:t>
      </w:r>
      <w:r>
        <w:rPr/>
        <w:t xml:space="preserve"> Where a customer's data, a customer's compliance position or a customer's deployment availability is or may be affected, the Managing Director decides whether the customer must be notified, records the decision and its reasoning on </w:t>
      </w:r>
      <w:r>
        <w:rPr>
          <w:rStyle w:val="SourceText"/>
        </w:rPr>
        <w:t>FRM-05</w:t>
      </w:r>
      <w:r>
        <w:rPr/>
        <w:t xml:space="preserve">, and records the date the customer was informed. </w:t>
      </w:r>
      <w:r>
        <w:rPr>
          <w:rStyle w:val="Strong"/>
        </w:rPr>
        <w:t>A decision not to notify is recorded with the reason.</w:t>
      </w:r>
      <w:r>
        <w:rPr/>
        <w:t xml:space="preserve"> </w:t>
      </w:r>
    </w:p>
    <w:p>
      <w:pPr>
        <w:pStyle w:val="BodyText"/>
        <w:numPr>
          <w:ilvl w:val="0"/>
          <w:numId w:val="2"/>
        </w:numPr>
        <w:tabs>
          <w:tab w:val="clear" w:pos="1134"/>
          <w:tab w:val="left" w:pos="709" w:leader="none"/>
        </w:tabs>
        <w:bidi w:val="0"/>
        <w:ind w:hanging="283" w:left="709"/>
        <w:jc w:val="left"/>
        <w:rPr/>
      </w:pPr>
      <w:r>
        <w:rPr>
          <w:rStyle w:val="Strong"/>
        </w:rPr>
        <w:t>Correct.</w:t>
      </w:r>
      <w:r>
        <w:rPr/>
        <w:t xml:space="preserve"> Fix the detected nonconformity. Record the commit SHA on </w:t>
      </w:r>
      <w:r>
        <w:rPr>
          <w:rStyle w:val="SourceText"/>
        </w:rPr>
        <w:t>FRM-05</w:t>
      </w:r>
      <w:r>
        <w:rPr/>
        <w:t xml:space="preserve">. </w:t>
      </w:r>
    </w:p>
    <w:p>
      <w:pPr>
        <w:pStyle w:val="BodyText"/>
        <w:bidi w:val="0"/>
        <w:jc w:val="left"/>
        <w:rPr/>
      </w:pPr>
      <w:r>
        <w:rPr/>
        <w:t xml:space="preserve">Clause 8.7.2 requires that the nonconformity, the action taken, any concession obtained, and who authorised the action are retained as documented information. </w:t>
      </w:r>
      <w:r>
        <w:rPr>
          <w:rStyle w:val="SourceText"/>
        </w:rPr>
        <w:t>FRM-05</w:t>
      </w:r>
      <w:r>
        <w:rPr/>
        <w:t xml:space="preserve"> carries all four fields.</w:t>
      </w:r>
    </w:p>
    <w:p>
      <w:pPr>
        <w:pStyle w:val="Heading2"/>
        <w:bidi w:val="0"/>
        <w:jc w:val="left"/>
        <w:rPr/>
      </w:pPr>
      <w:r>
        <w:rPr/>
        <w:t>7. Evaluating the need for corrective action, and root-cause analysis (10.2.1 b, c, d)</w:t>
      </w:r>
    </w:p>
    <w:p>
      <w:pPr>
        <w:pStyle w:val="Heading3"/>
        <w:bidi w:val="0"/>
        <w:jc w:val="left"/>
        <w:rPr/>
      </w:pPr>
      <w:r>
        <w:rPr/>
        <w:t>7.1 Does this need corrective action?</w:t>
      </w:r>
    </w:p>
    <w:p>
      <w:pPr>
        <w:pStyle w:val="BodyText"/>
        <w:bidi w:val="0"/>
        <w:jc w:val="left"/>
        <w:rPr/>
      </w:pPr>
      <w:r>
        <w:rPr/>
        <w:t>Corrective action is required when the answer to any of the following is yes:</w:t>
      </w:r>
    </w:p>
    <w:p>
      <w:pPr>
        <w:pStyle w:val="BodyText"/>
        <w:numPr>
          <w:ilvl w:val="0"/>
          <w:numId w:val="3"/>
        </w:numPr>
        <w:tabs>
          <w:tab w:val="clear" w:pos="1134"/>
          <w:tab w:val="left" w:pos="709" w:leader="none"/>
        </w:tabs>
        <w:bidi w:val="0"/>
        <w:spacing w:before="0" w:after="0"/>
        <w:ind w:hanging="283" w:left="709"/>
        <w:jc w:val="left"/>
        <w:rPr/>
      </w:pPr>
      <w:r>
        <w:rPr/>
        <w:t xml:space="preserve">Could this nonconformity, or one materially like it, occur again? </w:t>
      </w:r>
    </w:p>
    <w:p>
      <w:pPr>
        <w:pStyle w:val="BodyText"/>
        <w:numPr>
          <w:ilvl w:val="0"/>
          <w:numId w:val="3"/>
        </w:numPr>
        <w:tabs>
          <w:tab w:val="clear" w:pos="1134"/>
          <w:tab w:val="left" w:pos="709" w:leader="none"/>
        </w:tabs>
        <w:bidi w:val="0"/>
        <w:spacing w:before="0" w:after="0"/>
        <w:ind w:hanging="283" w:left="709"/>
        <w:jc w:val="left"/>
        <w:rPr/>
      </w:pPr>
      <w:r>
        <w:rPr/>
        <w:t xml:space="preserve">Does a similar nonconformity exist elsewhere, or could it potentially occur elsewhere in the product? (Clause 10.2.1 d requires this question to be asked explicitly.) </w:t>
      </w:r>
    </w:p>
    <w:p>
      <w:pPr>
        <w:pStyle w:val="BodyText"/>
        <w:numPr>
          <w:ilvl w:val="0"/>
          <w:numId w:val="3"/>
        </w:numPr>
        <w:tabs>
          <w:tab w:val="clear" w:pos="1134"/>
          <w:tab w:val="left" w:pos="709" w:leader="none"/>
        </w:tabs>
        <w:bidi w:val="0"/>
        <w:spacing w:before="0" w:after="0"/>
        <w:ind w:hanging="283" w:left="709"/>
        <w:jc w:val="left"/>
        <w:rPr/>
      </w:pPr>
      <w:r>
        <w:rPr/>
        <w:t xml:space="preserve">Was the nonconformity latent — present for some time before it became visible? </w:t>
      </w:r>
    </w:p>
    <w:p>
      <w:pPr>
        <w:pStyle w:val="BodyText"/>
        <w:numPr>
          <w:ilvl w:val="0"/>
          <w:numId w:val="3"/>
        </w:numPr>
        <w:tabs>
          <w:tab w:val="clear" w:pos="1134"/>
          <w:tab w:val="left" w:pos="709" w:leader="none"/>
        </w:tabs>
        <w:bidi w:val="0"/>
        <w:spacing w:before="0" w:after="0"/>
        <w:ind w:hanging="283" w:left="709"/>
        <w:jc w:val="left"/>
        <w:rPr/>
      </w:pPr>
      <w:r>
        <w:rPr/>
        <w:t xml:space="preserve">Did the nonconformity reach, or nearly reach, a customer? </w:t>
      </w:r>
    </w:p>
    <w:p>
      <w:pPr>
        <w:pStyle w:val="BodyText"/>
        <w:numPr>
          <w:ilvl w:val="0"/>
          <w:numId w:val="3"/>
        </w:numPr>
        <w:tabs>
          <w:tab w:val="clear" w:pos="1134"/>
          <w:tab w:val="left" w:pos="709" w:leader="none"/>
        </w:tabs>
        <w:bidi w:val="0"/>
        <w:ind w:hanging="283" w:left="709"/>
        <w:jc w:val="left"/>
        <w:rPr/>
      </w:pPr>
      <w:r>
        <w:rPr/>
        <w:t xml:space="preserve">Is the severity Major or Critical? </w:t>
      </w:r>
    </w:p>
    <w:p>
      <w:pPr>
        <w:pStyle w:val="BodyText"/>
        <w:bidi w:val="0"/>
        <w:jc w:val="left"/>
        <w:rPr/>
      </w:pPr>
      <w:r>
        <w:rPr/>
        <w:t>Where the answer to all five is no, the record may be closed with correction only, and the reasoning is written on the record. "No corrective action required" with no reasoning is not acceptable.</w:t>
      </w:r>
    </w:p>
    <w:p>
      <w:pPr>
        <w:pStyle w:val="Heading3"/>
        <w:bidi w:val="0"/>
        <w:jc w:val="left"/>
        <w:rPr/>
      </w:pPr>
      <w:r>
        <w:rPr/>
        <w:t>7.2 Root-cause analysis</w:t>
      </w:r>
    </w:p>
    <w:p>
      <w:pPr>
        <w:pStyle w:val="BodyText"/>
        <w:bidi w:val="0"/>
        <w:jc w:val="left"/>
        <w:rPr/>
      </w:pPr>
      <w:r>
        <w:rPr/>
        <w:t xml:space="preserve">Use </w:t>
      </w:r>
      <w:r>
        <w:rPr>
          <w:rStyle w:val="Strong"/>
        </w:rPr>
        <w:t>five whys</w:t>
      </w:r>
      <w:r>
        <w:rPr/>
        <w:t xml:space="preserve">, and cross-check the result against the </w:t>
      </w:r>
      <w:r>
        <w:rPr>
          <w:rStyle w:val="Strong"/>
        </w:rPr>
        <w:t>cause categories</w:t>
      </w:r>
      <w:r>
        <w:rPr/>
        <w:t xml:space="preserve"> below. Both are required: five whys finds a chain, the categories stop the chain from stopping too early in a comfortable place.</w:t>
      </w:r>
    </w:p>
    <w:p>
      <w:pPr>
        <w:pStyle w:val="BodyText"/>
        <w:bidi w:val="0"/>
        <w:jc w:val="left"/>
        <w:rPr/>
      </w:pPr>
      <w:r>
        <w:rPr>
          <w:rStyle w:val="Strong"/>
        </w:rPr>
        <w:t>Five whys.</w:t>
      </w:r>
      <w:r>
        <w:rPr/>
        <w:t xml:space="preserve"> State the nonconformity as an observable fact, then ask why until the answer names something the organisation can change. Record every step, not just the last one.</w:t>
      </w:r>
    </w:p>
    <w:p>
      <w:pPr>
        <w:pStyle w:val="BodyText"/>
        <w:bidi w:val="0"/>
        <w:jc w:val="left"/>
        <w:rPr/>
      </w:pPr>
      <w:r>
        <w:rPr>
          <w:rStyle w:val="Strong"/>
        </w:rPr>
        <w:t>Cause categories.</w:t>
      </w:r>
      <w:r>
        <w:rPr/>
        <w:t xml:space="preserve"> For each nonconformity, state which of these the root cause falls into:</w:t>
      </w:r>
    </w:p>
    <w:tbl>
      <w:tblPr>
        <w:tblW w:w="4893" w:type="dxa"/>
        <w:jc w:val="left"/>
        <w:tblInd w:w="0" w:type="dxa"/>
        <w:tblLayout w:type="fixed"/>
        <w:tblCellMar>
          <w:top w:w="28" w:type="dxa"/>
          <w:left w:w="28" w:type="dxa"/>
          <w:bottom w:w="28" w:type="dxa"/>
          <w:right w:w="28" w:type="dxa"/>
        </w:tblCellMar>
      </w:tblPr>
      <w:tblGrid>
        <w:gridCol w:w="1442"/>
        <w:gridCol w:w="3451"/>
      </w:tblGrid>
      <w:tr>
        <w:trPr>
          <w:tblHeader w:val="true"/>
        </w:trPr>
        <w:tc>
          <w:tcPr>
            <w:tcW w:w="1442" w:type="dxa"/>
            <w:tcBorders/>
            <w:vAlign w:val="center"/>
          </w:tcPr>
          <w:p>
            <w:pPr>
              <w:pStyle w:val="TableHeading"/>
              <w:suppressLineNumbers/>
              <w:shd w:fill="1F3A5F" w:val="clear"/>
              <w:bidi w:val="0"/>
              <w:spacing w:before="0" w:after="283"/>
              <w:jc w:val="center"/>
              <w:rPr/>
            </w:pPr>
            <w:r>
              <w:rPr/>
              <w:t>Category</w:t>
            </w:r>
          </w:p>
        </w:tc>
        <w:tc>
          <w:tcPr>
            <w:tcW w:w="3451" w:type="dxa"/>
            <w:tcBorders/>
            <w:vAlign w:val="center"/>
          </w:tcPr>
          <w:p>
            <w:pPr>
              <w:pStyle w:val="TableHeading"/>
              <w:suppressLineNumbers/>
              <w:shd w:fill="1F3A5F" w:val="clear"/>
              <w:bidi w:val="0"/>
              <w:spacing w:before="0" w:after="283"/>
              <w:jc w:val="center"/>
              <w:rPr/>
            </w:pPr>
            <w:r>
              <w:rPr/>
              <w:t>Question to ask</w:t>
            </w:r>
          </w:p>
        </w:tc>
      </w:tr>
      <w:tr>
        <w:trPr/>
        <w:tc>
          <w:tcPr>
            <w:tcW w:w="1442" w:type="dxa"/>
            <w:tcBorders/>
            <w:vAlign w:val="center"/>
          </w:tcPr>
          <w:p>
            <w:pPr>
              <w:pStyle w:val="TableContents"/>
              <w:bidi w:val="0"/>
              <w:spacing w:before="0" w:after="283"/>
              <w:jc w:val="left"/>
              <w:rPr/>
            </w:pPr>
            <w:r>
              <w:rPr/>
              <w:t>Requirement</w:t>
            </w:r>
          </w:p>
        </w:tc>
        <w:tc>
          <w:tcPr>
            <w:tcW w:w="3451" w:type="dxa"/>
            <w:tcBorders/>
            <w:vAlign w:val="center"/>
          </w:tcPr>
          <w:p>
            <w:pPr>
              <w:pStyle w:val="TableContents"/>
              <w:bidi w:val="0"/>
              <w:spacing w:before="0" w:after="283"/>
              <w:jc w:val="left"/>
              <w:rPr/>
            </w:pPr>
            <w:r>
              <w:rPr/>
              <w:t>Was the requirement ever stated, and stated testably?</w:t>
            </w:r>
          </w:p>
        </w:tc>
      </w:tr>
      <w:tr>
        <w:trPr/>
        <w:tc>
          <w:tcPr>
            <w:tcW w:w="1442" w:type="dxa"/>
            <w:tcBorders/>
            <w:vAlign w:val="center"/>
          </w:tcPr>
          <w:p>
            <w:pPr>
              <w:pStyle w:val="TableContents"/>
              <w:bidi w:val="0"/>
              <w:spacing w:before="0" w:after="283"/>
              <w:jc w:val="left"/>
              <w:rPr/>
            </w:pPr>
            <w:r>
              <w:rPr/>
              <w:t>Design</w:t>
            </w:r>
          </w:p>
        </w:tc>
        <w:tc>
          <w:tcPr>
            <w:tcW w:w="3451" w:type="dxa"/>
            <w:tcBorders/>
            <w:vAlign w:val="center"/>
          </w:tcPr>
          <w:p>
            <w:pPr>
              <w:pStyle w:val="TableContents"/>
              <w:bidi w:val="0"/>
              <w:spacing w:before="0" w:after="283"/>
              <w:jc w:val="left"/>
              <w:rPr/>
            </w:pPr>
            <w:r>
              <w:rPr/>
              <w:t>Did the design allow the failure — a missing constraint, an unguarded path, a default that fails open?</w:t>
            </w:r>
          </w:p>
        </w:tc>
      </w:tr>
      <w:tr>
        <w:trPr/>
        <w:tc>
          <w:tcPr>
            <w:tcW w:w="1442" w:type="dxa"/>
            <w:tcBorders/>
            <w:vAlign w:val="center"/>
          </w:tcPr>
          <w:p>
            <w:pPr>
              <w:pStyle w:val="TableContents"/>
              <w:bidi w:val="0"/>
              <w:spacing w:before="0" w:after="283"/>
              <w:jc w:val="left"/>
              <w:rPr/>
            </w:pPr>
            <w:r>
              <w:rPr/>
              <w:t>Implementation</w:t>
            </w:r>
          </w:p>
        </w:tc>
        <w:tc>
          <w:tcPr>
            <w:tcW w:w="3451" w:type="dxa"/>
            <w:tcBorders/>
            <w:vAlign w:val="center"/>
          </w:tcPr>
          <w:p>
            <w:pPr>
              <w:pStyle w:val="TableContents"/>
              <w:bidi w:val="0"/>
              <w:spacing w:before="0" w:after="283"/>
              <w:jc w:val="left"/>
              <w:rPr/>
            </w:pPr>
            <w:r>
              <w:rPr/>
              <w:t>Was the design right and the code wrong?</w:t>
            </w:r>
          </w:p>
        </w:tc>
      </w:tr>
      <w:tr>
        <w:trPr/>
        <w:tc>
          <w:tcPr>
            <w:tcW w:w="1442" w:type="dxa"/>
            <w:tcBorders/>
            <w:vAlign w:val="center"/>
          </w:tcPr>
          <w:p>
            <w:pPr>
              <w:pStyle w:val="TableContents"/>
              <w:bidi w:val="0"/>
              <w:spacing w:before="0" w:after="283"/>
              <w:jc w:val="left"/>
              <w:rPr/>
            </w:pPr>
            <w:r>
              <w:rPr/>
              <w:t>Verification</w:t>
            </w:r>
          </w:p>
        </w:tc>
        <w:tc>
          <w:tcPr>
            <w:tcW w:w="3451" w:type="dxa"/>
            <w:tcBorders/>
            <w:vAlign w:val="center"/>
          </w:tcPr>
          <w:p>
            <w:pPr>
              <w:pStyle w:val="TableContents"/>
              <w:bidi w:val="0"/>
              <w:spacing w:before="0" w:after="283"/>
              <w:jc w:val="left"/>
              <w:rPr/>
            </w:pPr>
            <w:r>
              <w:rPr/>
              <w:t xml:space="preserve">Why did testing or evaluation not catch it? This question is asked for </w:t>
            </w:r>
            <w:r>
              <w:rPr>
                <w:rStyle w:val="Strong"/>
              </w:rPr>
              <w:t>every</w:t>
            </w:r>
            <w:r>
              <w:rPr/>
              <w:t xml:space="preserve"> nonconformity, whatever the other answers, because a verification gap is a separate cause with a separate action.</w:t>
            </w:r>
          </w:p>
        </w:tc>
      </w:tr>
      <w:tr>
        <w:trPr/>
        <w:tc>
          <w:tcPr>
            <w:tcW w:w="1442" w:type="dxa"/>
            <w:tcBorders/>
            <w:vAlign w:val="center"/>
          </w:tcPr>
          <w:p>
            <w:pPr>
              <w:pStyle w:val="TableContents"/>
              <w:bidi w:val="0"/>
              <w:spacing w:before="0" w:after="283"/>
              <w:jc w:val="left"/>
              <w:rPr/>
            </w:pPr>
            <w:r>
              <w:rPr/>
              <w:t>Process / control</w:t>
            </w:r>
          </w:p>
        </w:tc>
        <w:tc>
          <w:tcPr>
            <w:tcW w:w="3451" w:type="dxa"/>
            <w:tcBorders/>
            <w:vAlign w:val="center"/>
          </w:tcPr>
          <w:p>
            <w:pPr>
              <w:pStyle w:val="TableContents"/>
              <w:bidi w:val="0"/>
              <w:spacing w:before="0" w:after="283"/>
              <w:jc w:val="left"/>
              <w:rPr/>
            </w:pPr>
            <w:r>
              <w:rPr/>
              <w:t>Was a QMS control absent, or present and not followed?</w:t>
            </w:r>
          </w:p>
        </w:tc>
      </w:tr>
      <w:tr>
        <w:trPr/>
        <w:tc>
          <w:tcPr>
            <w:tcW w:w="1442" w:type="dxa"/>
            <w:tcBorders/>
            <w:vAlign w:val="center"/>
          </w:tcPr>
          <w:p>
            <w:pPr>
              <w:pStyle w:val="TableContents"/>
              <w:bidi w:val="0"/>
              <w:spacing w:before="0" w:after="283"/>
              <w:jc w:val="left"/>
              <w:rPr/>
            </w:pPr>
            <w:r>
              <w:rPr/>
              <w:t>External provider</w:t>
            </w:r>
          </w:p>
        </w:tc>
        <w:tc>
          <w:tcPr>
            <w:tcW w:w="3451" w:type="dxa"/>
            <w:tcBorders/>
            <w:vAlign w:val="center"/>
          </w:tcPr>
          <w:p>
            <w:pPr>
              <w:pStyle w:val="TableContents"/>
              <w:bidi w:val="0"/>
              <w:spacing w:before="0" w:after="283"/>
              <w:jc w:val="left"/>
              <w:rPr/>
            </w:pPr>
            <w:r>
              <w:rPr/>
              <w:t>Did a supplied component change or behave other than relied on?</w:t>
            </w:r>
          </w:p>
        </w:tc>
      </w:tr>
      <w:tr>
        <w:trPr/>
        <w:tc>
          <w:tcPr>
            <w:tcW w:w="1442" w:type="dxa"/>
            <w:tcBorders/>
            <w:vAlign w:val="center"/>
          </w:tcPr>
          <w:p>
            <w:pPr>
              <w:pStyle w:val="TableContents"/>
              <w:bidi w:val="0"/>
              <w:spacing w:before="0" w:after="283"/>
              <w:jc w:val="left"/>
              <w:rPr/>
            </w:pPr>
            <w:r>
              <w:rPr/>
              <w:t>Competence / capacity</w:t>
            </w:r>
          </w:p>
        </w:tc>
        <w:tc>
          <w:tcPr>
            <w:tcW w:w="3451" w:type="dxa"/>
            <w:tcBorders/>
            <w:vAlign w:val="center"/>
          </w:tcPr>
          <w:p>
            <w:pPr>
              <w:pStyle w:val="TableContents"/>
              <w:bidi w:val="0"/>
              <w:spacing w:before="0" w:after="283"/>
              <w:jc w:val="left"/>
              <w:rPr/>
            </w:pPr>
            <w:r>
              <w:rPr/>
              <w:t>Was the work done by someone without the knowledge or the time to do it correctly?</w:t>
            </w:r>
          </w:p>
        </w:tc>
      </w:tr>
    </w:tbl>
    <w:p>
      <w:pPr>
        <w:pStyle w:val="BodyText"/>
        <w:bidi w:val="0"/>
        <w:jc w:val="left"/>
        <w:rPr/>
      </w:pPr>
      <w:r>
        <w:rPr>
          <w:rStyle w:val="Strong"/>
        </w:rPr>
        <w:t>Stopping rule.</w:t>
      </w:r>
      <w:r>
        <w:rPr/>
        <w:t xml:space="preserve"> Stop at the first cause that is </w:t>
      </w:r>
      <w:r>
        <w:rPr>
          <w:rStyle w:val="Strong"/>
        </w:rPr>
        <w:t>actionable by this organisation</w:t>
      </w:r>
      <w:r>
        <w:rPr/>
        <w:t xml:space="preserve"> and whose elimination would have prevented the nonconformity. Do not continue down to causes that are true but useless.</w:t>
      </w:r>
    </w:p>
    <w:p>
      <w:pPr>
        <w:pStyle w:val="BlockQuotation"/>
        <w:bidi w:val="0"/>
        <w:jc w:val="left"/>
        <w:rPr/>
      </w:pPr>
      <w:r>
        <w:rPr/>
        <w:t xml:space="preserve">"Root cause: human error" is never an acceptable stopping point — it names the person, not the system that allowed the error to have an effect. "Root cause: one developer, bus factor 1" is true of everything here and actionable by almost nothing; it belongs in </w:t>
      </w:r>
      <w:r>
        <w:rPr>
          <w:rStyle w:val="SourceText"/>
        </w:rPr>
        <w:t>registers/REG-03_Risk_Register.md</w:t>
      </w:r>
      <w:r>
        <w:rPr/>
        <w:t>, not as the root cause of a specific defect. Stop instead at, for example: "the namespace predicate was applied on the dense path but not on the sparse path, and no test asserted isolation on the sparse path" — two causes, both actionable.</w:t>
      </w:r>
    </w:p>
    <w:p>
      <w:pPr>
        <w:pStyle w:val="BodyText"/>
        <w:bidi w:val="0"/>
        <w:jc w:val="left"/>
        <w:rPr/>
      </w:pPr>
      <w:r>
        <w:rPr/>
        <w:t>A nonconformity may have more than one root cause. Record all of them; each gets its own action.</w:t>
      </w:r>
    </w:p>
    <w:p>
      <w:pPr>
        <w:pStyle w:val="Heading2"/>
        <w:bidi w:val="0"/>
        <w:jc w:val="left"/>
        <w:rPr/>
      </w:pPr>
      <w:r>
        <w:rPr/>
        <w:t>8. Implementing action and verifying effectiveness (10.2.1 e, f, g)</w:t>
      </w:r>
    </w:p>
    <w:p>
      <w:pPr>
        <w:pStyle w:val="BodyText"/>
        <w:numPr>
          <w:ilvl w:val="0"/>
          <w:numId w:val="4"/>
        </w:numPr>
        <w:tabs>
          <w:tab w:val="clear" w:pos="1134"/>
          <w:tab w:val="left" w:pos="709" w:leader="none"/>
        </w:tabs>
        <w:bidi w:val="0"/>
        <w:spacing w:before="0" w:after="0"/>
        <w:ind w:hanging="283" w:left="709"/>
        <w:jc w:val="left"/>
        <w:rPr/>
      </w:pPr>
      <w:r>
        <w:rPr>
          <w:rStyle w:val="Strong"/>
        </w:rPr>
        <w:t>Plan the action.</w:t>
      </w:r>
      <w:r>
        <w:rPr/>
        <w:t xml:space="preserve"> Each corrective action has a description, an owning </w:t>
      </w:r>
      <w:r>
        <w:rPr>
          <w:rStyle w:val="Strong"/>
        </w:rPr>
        <w:t>role</w:t>
      </w:r>
      <w:r>
        <w:rPr/>
        <w:t xml:space="preserve">, and a due date. Actions without an owner and a date are not actions. </w:t>
      </w:r>
    </w:p>
    <w:p>
      <w:pPr>
        <w:pStyle w:val="BodyText"/>
        <w:numPr>
          <w:ilvl w:val="0"/>
          <w:numId w:val="4"/>
        </w:numPr>
        <w:tabs>
          <w:tab w:val="clear" w:pos="1134"/>
          <w:tab w:val="left" w:pos="709" w:leader="none"/>
        </w:tabs>
        <w:bidi w:val="0"/>
        <w:spacing w:before="0" w:after="0"/>
        <w:ind w:hanging="283" w:left="709"/>
        <w:jc w:val="left"/>
        <w:rPr/>
      </w:pPr>
      <w:r>
        <w:rPr>
          <w:rStyle w:val="Strong"/>
        </w:rPr>
        <w:t>Implement.</w:t>
      </w:r>
      <w:r>
        <w:rPr/>
        <w:t xml:space="preserve"> Record the commit, branch or configuration change that delivers it. </w:t>
      </w:r>
    </w:p>
    <w:p>
      <w:pPr>
        <w:pStyle w:val="BodyText"/>
        <w:numPr>
          <w:ilvl w:val="0"/>
          <w:numId w:val="4"/>
        </w:numPr>
        <w:tabs>
          <w:tab w:val="clear" w:pos="1134"/>
          <w:tab w:val="left" w:pos="709" w:leader="none"/>
        </w:tabs>
        <w:bidi w:val="0"/>
        <w:spacing w:before="0" w:after="0"/>
        <w:ind w:hanging="283" w:left="709"/>
        <w:jc w:val="left"/>
        <w:rPr/>
      </w:pPr>
      <w:r>
        <w:rPr>
          <w:rStyle w:val="Strong"/>
        </w:rPr>
        <w:t>Update risks and opportunities (10.2.1 e).</w:t>
      </w:r>
      <w:r>
        <w:rPr/>
        <w:t xml:space="preserve"> Ask: was this risk in </w:t>
      </w:r>
      <w:r>
        <w:rPr>
          <w:rStyle w:val="SourceText"/>
        </w:rPr>
        <w:t>registers/REG-03_Risk_Register.md</w:t>
      </w:r>
      <w:r>
        <w:rPr/>
        <w:t xml:space="preserve">? If it was, was the score or the treatment wrong? If it was not, why was it not identified, and what does that say about the identification process in </w:t>
      </w:r>
      <w:r>
        <w:rPr>
          <w:rStyle w:val="SourceText"/>
        </w:rPr>
        <w:t>SOP-02</w:t>
      </w:r>
      <w:r>
        <w:rPr/>
        <w:t xml:space="preserve"> §6? Record the register update, or record explicitly that none was needed. </w:t>
      </w:r>
    </w:p>
    <w:p>
      <w:pPr>
        <w:pStyle w:val="BodyText"/>
        <w:numPr>
          <w:ilvl w:val="0"/>
          <w:numId w:val="4"/>
        </w:numPr>
        <w:tabs>
          <w:tab w:val="clear" w:pos="1134"/>
          <w:tab w:val="left" w:pos="709" w:leader="none"/>
        </w:tabs>
        <w:bidi w:val="0"/>
        <w:spacing w:before="0" w:after="0"/>
        <w:ind w:hanging="283" w:left="709"/>
        <w:jc w:val="left"/>
        <w:rPr/>
      </w:pPr>
      <w:r>
        <w:rPr>
          <w:rStyle w:val="Strong"/>
        </w:rPr>
        <w:t>Change the QMS if needed (10.2.1 f).</w:t>
      </w:r>
      <w:r>
        <w:rPr/>
        <w:t xml:space="preserve"> Where the cause is a missing or inadequate control, the procedure that should have contained that control is amended under </w:t>
      </w:r>
      <w:r>
        <w:rPr>
          <w:rStyle w:val="SourceText"/>
        </w:rPr>
        <w:t>SOP-01</w:t>
      </w:r>
      <w:r>
        <w:rPr/>
        <w:t xml:space="preserve"> §6. </w:t>
      </w:r>
    </w:p>
    <w:p>
      <w:pPr>
        <w:pStyle w:val="BodyText"/>
        <w:numPr>
          <w:ilvl w:val="0"/>
          <w:numId w:val="4"/>
        </w:numPr>
        <w:tabs>
          <w:tab w:val="clear" w:pos="1134"/>
          <w:tab w:val="left" w:pos="709" w:leader="none"/>
        </w:tabs>
        <w:bidi w:val="0"/>
        <w:ind w:hanging="283" w:left="709"/>
        <w:jc w:val="left"/>
        <w:rPr/>
      </w:pPr>
      <w:r>
        <w:rPr>
          <w:rStyle w:val="Strong"/>
        </w:rPr>
        <w:t>Verify effectiveness.</w:t>
      </w:r>
      <w:r>
        <w:rPr/>
        <w:t xml:space="preserve"> </w:t>
      </w:r>
    </w:p>
    <w:p>
      <w:pPr>
        <w:pStyle w:val="BlockQuotation"/>
        <w:bidi w:val="0"/>
        <w:jc w:val="left"/>
        <w:rPr/>
      </w:pPr>
      <w:r>
        <w:rPr>
          <w:rStyle w:val="Strong"/>
        </w:rPr>
        <w:t>This is the step that is most often skipped, and skipping it is the single most common reason a corrective-action system fails an audit.</w:t>
      </w:r>
      <w:r>
        <w:rPr/>
        <w:t xml:space="preserve"> A corrective action is </w:t>
      </w:r>
      <w:r>
        <w:rPr>
          <w:rStyle w:val="Strong"/>
        </w:rPr>
        <w:t>not closed</w:t>
      </w:r>
      <w:r>
        <w:rPr/>
        <w:t xml:space="preserve"> when the fix is committed. It is closed when evidence gathered </w:t>
      </w:r>
      <w:r>
        <w:rPr>
          <w:rStyle w:val="Emphasis"/>
        </w:rPr>
        <w:t>after</w:t>
      </w:r>
      <w:r>
        <w:rPr/>
        <w:t xml:space="preserve"> the action shows the cause is gone.</w:t>
      </w:r>
    </w:p>
    <w:p>
      <w:pPr>
        <w:pStyle w:val="BodyText"/>
        <w:bidi w:val="0"/>
        <w:jc w:val="left"/>
        <w:rPr/>
      </w:pPr>
      <w:r>
        <w:rPr/>
        <w:t xml:space="preserve">Effectiveness verification must state four things on </w:t>
      </w:r>
      <w:r>
        <w:rPr>
          <w:rStyle w:val="SourceText"/>
        </w:rPr>
        <w:t>FRM-05</w:t>
      </w:r>
      <w:r>
        <w:rPr/>
        <w:t>:</w:t>
      </w:r>
    </w:p>
    <w:tbl>
      <w:tblPr>
        <w:tblW w:w="4893" w:type="dxa"/>
        <w:jc w:val="left"/>
        <w:tblInd w:w="0" w:type="dxa"/>
        <w:tblLayout w:type="fixed"/>
        <w:tblCellMar>
          <w:top w:w="28" w:type="dxa"/>
          <w:left w:w="28" w:type="dxa"/>
          <w:bottom w:w="28" w:type="dxa"/>
          <w:right w:w="28" w:type="dxa"/>
        </w:tblCellMar>
      </w:tblPr>
      <w:tblGrid>
        <w:gridCol w:w="872"/>
        <w:gridCol w:w="4021"/>
      </w:tblGrid>
      <w:tr>
        <w:trPr>
          <w:tblHeader w:val="true"/>
        </w:trPr>
        <w:tc>
          <w:tcPr>
            <w:tcW w:w="872" w:type="dxa"/>
            <w:tcBorders/>
            <w:vAlign w:val="center"/>
          </w:tcPr>
          <w:p>
            <w:pPr>
              <w:pStyle w:val="TableHeading"/>
              <w:suppressLineNumbers/>
              <w:shd w:fill="1F3A5F" w:val="clear"/>
              <w:bidi w:val="0"/>
              <w:spacing w:before="0" w:after="283"/>
              <w:jc w:val="center"/>
              <w:rPr/>
            </w:pPr>
            <w:r>
              <w:rPr/>
              <w:t>Field</w:t>
            </w:r>
          </w:p>
        </w:tc>
        <w:tc>
          <w:tcPr>
            <w:tcW w:w="4021" w:type="dxa"/>
            <w:tcBorders/>
            <w:vAlign w:val="center"/>
          </w:tcPr>
          <w:p>
            <w:pPr>
              <w:pStyle w:val="TableHeading"/>
              <w:suppressLineNumbers/>
              <w:shd w:fill="1F3A5F" w:val="clear"/>
              <w:bidi w:val="0"/>
              <w:spacing w:before="0" w:after="283"/>
              <w:jc w:val="center"/>
              <w:rPr/>
            </w:pPr>
            <w:r>
              <w:rPr/>
              <w:t>Requirement</w:t>
            </w:r>
          </w:p>
        </w:tc>
      </w:tr>
      <w:tr>
        <w:trPr/>
        <w:tc>
          <w:tcPr>
            <w:tcW w:w="872" w:type="dxa"/>
            <w:tcBorders/>
            <w:vAlign w:val="center"/>
          </w:tcPr>
          <w:p>
            <w:pPr>
              <w:pStyle w:val="TableContents"/>
              <w:bidi w:val="0"/>
              <w:spacing w:before="0" w:after="283"/>
              <w:jc w:val="left"/>
              <w:rPr/>
            </w:pPr>
            <w:r>
              <w:rPr/>
              <w:t>Method</w:t>
            </w:r>
          </w:p>
        </w:tc>
        <w:tc>
          <w:tcPr>
            <w:tcW w:w="4021" w:type="dxa"/>
            <w:tcBorders/>
            <w:vAlign w:val="center"/>
          </w:tcPr>
          <w:p>
            <w:pPr>
              <w:pStyle w:val="TableContents"/>
              <w:bidi w:val="0"/>
              <w:spacing w:before="0" w:after="283"/>
              <w:jc w:val="left"/>
              <w:rPr/>
            </w:pPr>
            <w:r>
              <w:rPr/>
              <w:t>What was done to test the cause is gone — not what was done to fix it</w:t>
            </w:r>
          </w:p>
        </w:tc>
      </w:tr>
      <w:tr>
        <w:trPr/>
        <w:tc>
          <w:tcPr>
            <w:tcW w:w="872" w:type="dxa"/>
            <w:tcBorders/>
            <w:vAlign w:val="center"/>
          </w:tcPr>
          <w:p>
            <w:pPr>
              <w:pStyle w:val="TableContents"/>
              <w:bidi w:val="0"/>
              <w:spacing w:before="0" w:after="283"/>
              <w:jc w:val="left"/>
              <w:rPr/>
            </w:pPr>
            <w:r>
              <w:rPr/>
              <w:t>Date</w:t>
            </w:r>
          </w:p>
        </w:tc>
        <w:tc>
          <w:tcPr>
            <w:tcW w:w="4021" w:type="dxa"/>
            <w:tcBorders/>
            <w:vAlign w:val="center"/>
          </w:tcPr>
          <w:p>
            <w:pPr>
              <w:pStyle w:val="TableContents"/>
              <w:bidi w:val="0"/>
              <w:spacing w:before="0" w:after="283"/>
              <w:jc w:val="left"/>
              <w:rPr/>
            </w:pPr>
            <w:r>
              <w:rPr/>
              <w:t>When verification was performed. It is a separate, later date from the implementation date; where it is the same day, the record says so.</w:t>
            </w:r>
          </w:p>
        </w:tc>
      </w:tr>
      <w:tr>
        <w:trPr/>
        <w:tc>
          <w:tcPr>
            <w:tcW w:w="872" w:type="dxa"/>
            <w:tcBorders/>
            <w:vAlign w:val="center"/>
          </w:tcPr>
          <w:p>
            <w:pPr>
              <w:pStyle w:val="TableContents"/>
              <w:bidi w:val="0"/>
              <w:spacing w:before="0" w:after="283"/>
              <w:jc w:val="left"/>
              <w:rPr/>
            </w:pPr>
            <w:r>
              <w:rPr/>
              <w:t>Evidence</w:t>
            </w:r>
          </w:p>
        </w:tc>
        <w:tc>
          <w:tcPr>
            <w:tcW w:w="4021" w:type="dxa"/>
            <w:tcBorders/>
            <w:vAlign w:val="center"/>
          </w:tcPr>
          <w:p>
            <w:pPr>
              <w:pStyle w:val="TableContents"/>
              <w:bidi w:val="0"/>
              <w:spacing w:before="0" w:after="283"/>
              <w:jc w:val="left"/>
              <w:rPr/>
            </w:pPr>
            <w:r>
              <w:rPr/>
              <w:t>Objective and reproducible: a test that now fails without the fix and passes with it; a full evaluation run with its score; a count from a query; recorded output. A statement that "it works now" is not evidence.</w:t>
            </w:r>
          </w:p>
        </w:tc>
      </w:tr>
      <w:tr>
        <w:trPr/>
        <w:tc>
          <w:tcPr>
            <w:tcW w:w="872" w:type="dxa"/>
            <w:tcBorders/>
            <w:vAlign w:val="center"/>
          </w:tcPr>
          <w:p>
            <w:pPr>
              <w:pStyle w:val="TableContents"/>
              <w:bidi w:val="0"/>
              <w:spacing w:before="0" w:after="283"/>
              <w:jc w:val="left"/>
              <w:rPr/>
            </w:pPr>
            <w:r>
              <w:rPr/>
              <w:t>Verified by</w:t>
            </w:r>
          </w:p>
        </w:tc>
        <w:tc>
          <w:tcPr>
            <w:tcW w:w="4021" w:type="dxa"/>
            <w:tcBorders/>
            <w:vAlign w:val="center"/>
          </w:tcPr>
          <w:p>
            <w:pPr>
              <w:pStyle w:val="TableContents"/>
              <w:bidi w:val="0"/>
              <w:spacing w:before="0" w:after="283"/>
              <w:jc w:val="left"/>
              <w:rPr/>
            </w:pPr>
            <w:r>
              <w:rPr/>
              <w:t>The role. Where implementer and verifier are the same person (§4), the record says so explicitly.</w:t>
            </w:r>
          </w:p>
        </w:tc>
      </w:tr>
    </w:tbl>
    <w:p>
      <w:pPr>
        <w:pStyle w:val="BodyText"/>
        <w:bidi w:val="0"/>
        <w:jc w:val="left"/>
        <w:rPr/>
      </w:pPr>
      <w:r>
        <w:rPr/>
        <w:t>Acceptable evidence in this organisation, by category:</w:t>
      </w:r>
    </w:p>
    <w:tbl>
      <w:tblPr>
        <w:tblW w:w="4893" w:type="dxa"/>
        <w:jc w:val="left"/>
        <w:tblInd w:w="0" w:type="dxa"/>
        <w:tblLayout w:type="fixed"/>
        <w:tblCellMar>
          <w:top w:w="28" w:type="dxa"/>
          <w:left w:w="28" w:type="dxa"/>
          <w:bottom w:w="28" w:type="dxa"/>
          <w:right w:w="28" w:type="dxa"/>
        </w:tblCellMar>
      </w:tblPr>
      <w:tblGrid>
        <w:gridCol w:w="1622"/>
        <w:gridCol w:w="3271"/>
      </w:tblGrid>
      <w:tr>
        <w:trPr>
          <w:tblHeader w:val="true"/>
        </w:trPr>
        <w:tc>
          <w:tcPr>
            <w:tcW w:w="1622" w:type="dxa"/>
            <w:tcBorders/>
            <w:vAlign w:val="center"/>
          </w:tcPr>
          <w:p>
            <w:pPr>
              <w:pStyle w:val="TableHeading"/>
              <w:suppressLineNumbers/>
              <w:shd w:fill="1F3A5F" w:val="clear"/>
              <w:bidi w:val="0"/>
              <w:spacing w:before="0" w:after="283"/>
              <w:jc w:val="center"/>
              <w:rPr/>
            </w:pPr>
            <w:r>
              <w:rPr/>
              <w:t>Cause category</w:t>
            </w:r>
          </w:p>
        </w:tc>
        <w:tc>
          <w:tcPr>
            <w:tcW w:w="3271" w:type="dxa"/>
            <w:tcBorders/>
            <w:vAlign w:val="center"/>
          </w:tcPr>
          <w:p>
            <w:pPr>
              <w:pStyle w:val="TableHeading"/>
              <w:suppressLineNumbers/>
              <w:shd w:fill="1F3A5F" w:val="clear"/>
              <w:bidi w:val="0"/>
              <w:spacing w:before="0" w:after="283"/>
              <w:jc w:val="center"/>
              <w:rPr/>
            </w:pPr>
            <w:r>
              <w:rPr/>
              <w:t>Effectiveness evidence that counts</w:t>
            </w:r>
          </w:p>
        </w:tc>
      </w:tr>
      <w:tr>
        <w:trPr/>
        <w:tc>
          <w:tcPr>
            <w:tcW w:w="1622" w:type="dxa"/>
            <w:tcBorders/>
            <w:vAlign w:val="center"/>
          </w:tcPr>
          <w:p>
            <w:pPr>
              <w:pStyle w:val="TableContents"/>
              <w:bidi w:val="0"/>
              <w:spacing w:before="0" w:after="283"/>
              <w:jc w:val="left"/>
              <w:rPr/>
            </w:pPr>
            <w:r>
              <w:rPr/>
              <w:t>Isolation / retrieval correctness</w:t>
            </w:r>
          </w:p>
        </w:tc>
        <w:tc>
          <w:tcPr>
            <w:tcW w:w="3271" w:type="dxa"/>
            <w:tcBorders/>
            <w:vAlign w:val="center"/>
          </w:tcPr>
          <w:p>
            <w:pPr>
              <w:pStyle w:val="TableContents"/>
              <w:bidi w:val="0"/>
              <w:spacing w:before="0" w:after="283"/>
              <w:jc w:val="left"/>
              <w:rPr/>
            </w:pPr>
            <w:r>
              <w:rPr/>
              <w:t>A re-run of the 52-question golden evaluation with the score recorded, plus a direct query count over the affected index</w:t>
            </w:r>
          </w:p>
        </w:tc>
      </w:tr>
      <w:tr>
        <w:trPr/>
        <w:tc>
          <w:tcPr>
            <w:tcW w:w="1622" w:type="dxa"/>
            <w:tcBorders/>
            <w:vAlign w:val="center"/>
          </w:tcPr>
          <w:p>
            <w:pPr>
              <w:pStyle w:val="TableContents"/>
              <w:bidi w:val="0"/>
              <w:spacing w:before="0" w:after="283"/>
              <w:jc w:val="left"/>
              <w:rPr/>
            </w:pPr>
            <w:r>
              <w:rPr/>
              <w:t>Implementation defect</w:t>
            </w:r>
          </w:p>
        </w:tc>
        <w:tc>
          <w:tcPr>
            <w:tcW w:w="3271" w:type="dxa"/>
            <w:tcBorders/>
            <w:vAlign w:val="center"/>
          </w:tcPr>
          <w:p>
            <w:pPr>
              <w:pStyle w:val="TableContents"/>
              <w:bidi w:val="0"/>
              <w:spacing w:before="0" w:after="283"/>
              <w:jc w:val="left"/>
              <w:rPr/>
            </w:pPr>
            <w:r>
              <w:rPr/>
              <w:t xml:space="preserve">A new or amended test in </w:t>
            </w:r>
            <w:r>
              <w:rPr>
                <w:rStyle w:val="SourceText"/>
              </w:rPr>
              <w:t>backend/tests/</w:t>
            </w:r>
            <w:r>
              <w:rPr/>
              <w:t xml:space="preserve"> or </w:t>
            </w:r>
            <w:r>
              <w:rPr>
                <w:rStyle w:val="SourceText"/>
              </w:rPr>
              <w:t>voice/tests/</w:t>
            </w:r>
            <w:r>
              <w:rPr/>
              <w:t xml:space="preserve"> that fails on the pre-fix code, plus a recorded run</w:t>
            </w:r>
          </w:p>
        </w:tc>
      </w:tr>
      <w:tr>
        <w:trPr/>
        <w:tc>
          <w:tcPr>
            <w:tcW w:w="1622" w:type="dxa"/>
            <w:tcBorders/>
            <w:vAlign w:val="center"/>
          </w:tcPr>
          <w:p>
            <w:pPr>
              <w:pStyle w:val="TableContents"/>
              <w:bidi w:val="0"/>
              <w:spacing w:before="0" w:after="283"/>
              <w:jc w:val="left"/>
              <w:rPr/>
            </w:pPr>
            <w:r>
              <w:rPr/>
              <w:t>Build / dependency</w:t>
            </w:r>
          </w:p>
        </w:tc>
        <w:tc>
          <w:tcPr>
            <w:tcW w:w="3271" w:type="dxa"/>
            <w:tcBorders/>
            <w:vAlign w:val="center"/>
          </w:tcPr>
          <w:p>
            <w:pPr>
              <w:pStyle w:val="TableContents"/>
              <w:bidi w:val="0"/>
              <w:spacing w:before="0" w:after="283"/>
              <w:jc w:val="left"/>
              <w:rPr/>
            </w:pPr>
            <w:r>
              <w:rPr/>
              <w:t>A clean, from-scratch rebuild completing with all containers healthy</w:t>
            </w:r>
          </w:p>
        </w:tc>
      </w:tr>
      <w:tr>
        <w:trPr/>
        <w:tc>
          <w:tcPr>
            <w:tcW w:w="1622" w:type="dxa"/>
            <w:tcBorders/>
            <w:vAlign w:val="center"/>
          </w:tcPr>
          <w:p>
            <w:pPr>
              <w:pStyle w:val="TableContents"/>
              <w:bidi w:val="0"/>
              <w:spacing w:before="0" w:after="283"/>
              <w:jc w:val="left"/>
              <w:rPr/>
            </w:pPr>
            <w:r>
              <w:rPr/>
              <w:t>Runtime behaviour</w:t>
            </w:r>
          </w:p>
        </w:tc>
        <w:tc>
          <w:tcPr>
            <w:tcW w:w="3271" w:type="dxa"/>
            <w:tcBorders/>
            <w:vAlign w:val="center"/>
          </w:tcPr>
          <w:p>
            <w:pPr>
              <w:pStyle w:val="TableContents"/>
              <w:bidi w:val="0"/>
              <w:spacing w:before="0" w:after="283"/>
              <w:jc w:val="left"/>
              <w:rPr/>
            </w:pPr>
            <w:r>
              <w:rPr/>
              <w:t>Recorded artefacts from a real run — output files, logs, timings</w:t>
            </w:r>
          </w:p>
        </w:tc>
      </w:tr>
      <w:tr>
        <w:trPr/>
        <w:tc>
          <w:tcPr>
            <w:tcW w:w="1622" w:type="dxa"/>
            <w:tcBorders/>
            <w:vAlign w:val="center"/>
          </w:tcPr>
          <w:p>
            <w:pPr>
              <w:pStyle w:val="TableContents"/>
              <w:bidi w:val="0"/>
              <w:spacing w:before="0" w:after="283"/>
              <w:jc w:val="left"/>
              <w:rPr/>
            </w:pPr>
            <w:r>
              <w:rPr/>
              <w:t>Process / QMS</w:t>
            </w:r>
          </w:p>
        </w:tc>
        <w:tc>
          <w:tcPr>
            <w:tcW w:w="3271" w:type="dxa"/>
            <w:tcBorders/>
            <w:vAlign w:val="center"/>
          </w:tcPr>
          <w:p>
            <w:pPr>
              <w:pStyle w:val="TableContents"/>
              <w:bidi w:val="0"/>
              <w:spacing w:before="0" w:after="283"/>
              <w:jc w:val="left"/>
              <w:rPr/>
            </w:pPr>
            <w:r>
              <w:rPr/>
              <w:t>The changed procedure plus one instance of the process being run under the new version and producing the required record</w:t>
            </w:r>
          </w:p>
        </w:tc>
      </w:tr>
    </w:tbl>
    <w:p>
      <w:pPr>
        <w:pStyle w:val="BodyText"/>
        <w:numPr>
          <w:ilvl w:val="0"/>
          <w:numId w:val="5"/>
        </w:numPr>
        <w:tabs>
          <w:tab w:val="clear" w:pos="1134"/>
          <w:tab w:val="left" w:pos="709" w:leader="none"/>
        </w:tabs>
        <w:bidi w:val="0"/>
        <w:spacing w:before="0" w:after="0"/>
        <w:ind w:hanging="283" w:left="709"/>
        <w:jc w:val="left"/>
        <w:rPr/>
      </w:pPr>
      <w:r>
        <w:rPr>
          <w:rStyle w:val="Strong"/>
        </w:rPr>
        <w:t>Close.</w:t>
      </w:r>
      <w:r>
        <w:rPr/>
        <w:t xml:space="preserve"> The Managing Director authorises closure on </w:t>
      </w:r>
      <w:r>
        <w:rPr>
          <w:rStyle w:val="SourceText"/>
        </w:rPr>
        <w:t>FRM-05</w:t>
      </w:r>
      <w:r>
        <w:rPr/>
        <w:t xml:space="preserve"> and updates </w:t>
      </w:r>
      <w:r>
        <w:rPr>
          <w:rStyle w:val="SourceText"/>
        </w:rPr>
        <w:t>REG-04</w:t>
      </w:r>
      <w:r>
        <w:rPr/>
        <w:t xml:space="preserve">. Closure without a completed effectiveness-verification block is itself a nonconformity against this procedure. </w:t>
      </w:r>
    </w:p>
    <w:p>
      <w:pPr>
        <w:pStyle w:val="BodyText"/>
        <w:numPr>
          <w:ilvl w:val="0"/>
          <w:numId w:val="5"/>
        </w:numPr>
        <w:tabs>
          <w:tab w:val="clear" w:pos="1134"/>
          <w:tab w:val="left" w:pos="709" w:leader="none"/>
        </w:tabs>
        <w:bidi w:val="0"/>
        <w:ind w:hanging="283" w:left="709"/>
        <w:jc w:val="left"/>
        <w:rPr/>
      </w:pPr>
      <w:r>
        <w:rPr>
          <w:rStyle w:val="Strong"/>
        </w:rPr>
        <w:t>Where verification shows the action was not effective</w:t>
      </w:r>
      <w:r>
        <w:rPr/>
        <w:t xml:space="preserve">, the record is </w:t>
      </w:r>
      <w:r>
        <w:rPr>
          <w:rStyle w:val="Strong"/>
        </w:rPr>
        <w:t>not</w:t>
      </w:r>
      <w:r>
        <w:rPr/>
        <w:t xml:space="preserve"> closed. Re-open the root-cause analysis: the cause identified was not the cause. Record the second analysis on the same record so the reasoning trail survives. </w:t>
      </w:r>
    </w:p>
    <w:p>
      <w:pPr>
        <w:pStyle w:val="Heading2"/>
        <w:bidi w:val="0"/>
        <w:jc w:val="left"/>
        <w:rPr/>
      </w:pPr>
      <w:r>
        <w:rPr/>
        <w:t>9. Worked example</w:t>
      </w:r>
    </w:p>
    <w:p>
      <w:pPr>
        <w:pStyle w:val="Heading3"/>
        <w:bidi w:val="0"/>
        <w:ind w:hanging="0" w:left="567" w:right="567"/>
        <w:jc w:val="left"/>
        <w:rPr/>
      </w:pPr>
      <w:r>
        <w:rPr/>
        <w:t>EXAMPLE — ILLUSTRATION ONLY</w:t>
      </w:r>
    </w:p>
    <w:p>
      <w:pPr>
        <w:pStyle w:val="BlockQuotation"/>
        <w:bidi w:val="0"/>
        <w:jc w:val="left"/>
        <w:rPr/>
      </w:pPr>
      <w:r>
        <w:rPr/>
        <w:t xml:space="preserve">The commits and evaluation figures below are real and verifiable in this repository. The layout below is </w:t>
      </w:r>
      <w:r>
        <w:rPr>
          <w:rStyle w:val="Strong"/>
        </w:rPr>
        <w:t>not</w:t>
      </w:r>
      <w:r>
        <w:rPr/>
        <w:t xml:space="preserve"> a completed nonconformity record: no </w:t>
      </w:r>
      <w:r>
        <w:rPr>
          <w:rStyle w:val="SourceText"/>
        </w:rPr>
        <w:t>NC-</w:t>
      </w:r>
      <w:r>
        <w:rPr/>
        <w:t xml:space="preserve"> record was raised at the time, no owner or due date was assigned, and nothing was logged in </w:t>
      </w:r>
      <w:r>
        <w:rPr>
          <w:rStyle w:val="SourceText"/>
        </w:rPr>
        <w:t>REG-04</w:t>
      </w:r>
      <w:r>
        <w:rPr/>
        <w:t xml:space="preserve">. It is reproduced here to show what a complete </w:t>
      </w:r>
      <w:r>
        <w:rPr>
          <w:rStyle w:val="SourceText"/>
        </w:rPr>
        <w:t>FRM-05</w:t>
      </w:r>
      <w:r>
        <w:rPr/>
        <w:t xml:space="preserve"> looks like when populated, and to show that the underlying engineering discipline already exists. </w:t>
      </w:r>
      <w:r>
        <w:rPr>
          <w:rStyle w:val="Strong"/>
        </w:rPr>
        <w:t>It must not be treated as an actual QMS record.</w:t>
      </w:r>
    </w:p>
    <w:tbl>
      <w:tblPr>
        <w:tblW w:w="4893" w:type="dxa"/>
        <w:jc w:val="left"/>
        <w:tblInd w:w="0" w:type="dxa"/>
        <w:tblLayout w:type="fixed"/>
        <w:tblCellMar>
          <w:top w:w="28" w:type="dxa"/>
          <w:left w:w="28" w:type="dxa"/>
          <w:bottom w:w="28" w:type="dxa"/>
          <w:right w:w="28" w:type="dxa"/>
        </w:tblCellMar>
      </w:tblPr>
      <w:tblGrid>
        <w:gridCol w:w="1574"/>
        <w:gridCol w:w="3319"/>
      </w:tblGrid>
      <w:tr>
        <w:trPr>
          <w:tblHeader w:val="true"/>
        </w:trPr>
        <w:tc>
          <w:tcPr>
            <w:tcW w:w="1574" w:type="dxa"/>
            <w:tcBorders/>
            <w:vAlign w:val="center"/>
          </w:tcPr>
          <w:p>
            <w:pPr>
              <w:pStyle w:val="TableHeading"/>
              <w:suppressLineNumbers/>
              <w:shd w:fill="1F3A5F" w:val="clear"/>
              <w:bidi w:val="0"/>
              <w:spacing w:before="0" w:after="283"/>
              <w:jc w:val="center"/>
              <w:rPr/>
            </w:pPr>
            <w:r>
              <w:rPr/>
              <w:t>Field</w:t>
            </w:r>
          </w:p>
        </w:tc>
        <w:tc>
          <w:tcPr>
            <w:tcW w:w="3319" w:type="dxa"/>
            <w:tcBorders/>
            <w:vAlign w:val="center"/>
          </w:tcPr>
          <w:p>
            <w:pPr>
              <w:pStyle w:val="TableHeading"/>
              <w:suppressLineNumbers/>
              <w:shd w:fill="1F3A5F" w:val="clear"/>
              <w:bidi w:val="0"/>
              <w:spacing w:before="0" w:after="283"/>
              <w:jc w:val="center"/>
              <w:rPr/>
            </w:pPr>
            <w:r>
              <w:rPr/>
              <w:t xml:space="preserve">Content drawn from commit </w:t>
            </w:r>
            <w:r>
              <w:rPr>
                <w:rStyle w:val="SourceText"/>
              </w:rPr>
              <w:t>4e27109</w:t>
            </w:r>
            <w:r>
              <w:rPr/>
              <w:t xml:space="preserve"> (2026-08-07)</w:t>
            </w:r>
          </w:p>
        </w:tc>
      </w:tr>
      <w:tr>
        <w:trPr/>
        <w:tc>
          <w:tcPr>
            <w:tcW w:w="1574" w:type="dxa"/>
            <w:tcBorders/>
            <w:vAlign w:val="center"/>
          </w:tcPr>
          <w:p>
            <w:pPr>
              <w:pStyle w:val="TableContents"/>
              <w:bidi w:val="0"/>
              <w:spacing w:before="0" w:after="283"/>
              <w:jc w:val="left"/>
              <w:rPr/>
            </w:pPr>
            <w:r>
              <w:rPr/>
              <w:t>Source</w:t>
            </w:r>
          </w:p>
        </w:tc>
        <w:tc>
          <w:tcPr>
            <w:tcW w:w="3319" w:type="dxa"/>
            <w:tcBorders/>
            <w:vAlign w:val="center"/>
          </w:tcPr>
          <w:p>
            <w:pPr>
              <w:pStyle w:val="TableContents"/>
              <w:bidi w:val="0"/>
              <w:spacing w:before="0" w:after="283"/>
              <w:jc w:val="left"/>
              <w:rPr/>
            </w:pPr>
            <w:r>
              <w:rPr/>
              <w:t>Own observation during evaluation; regression detected by the golden-question suite</w:t>
            </w:r>
          </w:p>
        </w:tc>
      </w:tr>
      <w:tr>
        <w:trPr/>
        <w:tc>
          <w:tcPr>
            <w:tcW w:w="1574" w:type="dxa"/>
            <w:tcBorders/>
            <w:vAlign w:val="center"/>
          </w:tcPr>
          <w:p>
            <w:pPr>
              <w:pStyle w:val="TableContents"/>
              <w:bidi w:val="0"/>
              <w:spacing w:before="0" w:after="283"/>
              <w:jc w:val="left"/>
              <w:rPr/>
            </w:pPr>
            <w:r>
              <w:rPr/>
              <w:t>Description</w:t>
            </w:r>
          </w:p>
        </w:tc>
        <w:tc>
          <w:tcPr>
            <w:tcW w:w="3319" w:type="dxa"/>
            <w:tcBorders/>
            <w:vAlign w:val="center"/>
          </w:tcPr>
          <w:p>
            <w:pPr>
              <w:pStyle w:val="TableContents"/>
              <w:bidi w:val="0"/>
              <w:spacing w:before="0" w:after="283"/>
              <w:jc w:val="left"/>
              <w:rPr/>
            </w:pPr>
            <w:r>
              <w:rPr/>
              <w:t>Retrieved content crossed a tenant namespace boundary on the sparse (keyword) transcript retrieval path. The namespace predicate was enforced on the dense path only.</w:t>
            </w:r>
          </w:p>
        </w:tc>
      </w:tr>
      <w:tr>
        <w:trPr/>
        <w:tc>
          <w:tcPr>
            <w:tcW w:w="1574" w:type="dxa"/>
            <w:tcBorders/>
            <w:vAlign w:val="center"/>
          </w:tcPr>
          <w:p>
            <w:pPr>
              <w:pStyle w:val="TableContents"/>
              <w:bidi w:val="0"/>
              <w:spacing w:before="0" w:after="283"/>
              <w:jc w:val="left"/>
              <w:rPr/>
            </w:pPr>
            <w:r>
              <w:rPr/>
              <w:t>Severity</w:t>
            </w:r>
          </w:p>
        </w:tc>
        <w:tc>
          <w:tcPr>
            <w:tcW w:w="3319" w:type="dxa"/>
            <w:tcBorders/>
            <w:vAlign w:val="center"/>
          </w:tcPr>
          <w:p>
            <w:pPr>
              <w:pStyle w:val="TableContents"/>
              <w:bidi w:val="0"/>
              <w:spacing w:before="0" w:after="283"/>
              <w:jc w:val="left"/>
              <w:rPr/>
            </w:pPr>
            <w:r>
              <w:rPr/>
              <w:t xml:space="preserve">Critical — impact 5 under </w:t>
            </w:r>
            <w:r>
              <w:rPr>
                <w:rStyle w:val="SourceText"/>
              </w:rPr>
              <w:t>SOP-02</w:t>
            </w:r>
            <w:r>
              <w:rPr/>
              <w:t xml:space="preserve"> §7 (content crossing a tenant boundary)</w:t>
            </w:r>
          </w:p>
        </w:tc>
      </w:tr>
      <w:tr>
        <w:trPr/>
        <w:tc>
          <w:tcPr>
            <w:tcW w:w="1574" w:type="dxa"/>
            <w:tcBorders/>
            <w:vAlign w:val="center"/>
          </w:tcPr>
          <w:p>
            <w:pPr>
              <w:pStyle w:val="TableContents"/>
              <w:bidi w:val="0"/>
              <w:spacing w:before="0" w:after="283"/>
              <w:jc w:val="left"/>
              <w:rPr/>
            </w:pPr>
            <w:r>
              <w:rPr/>
              <w:t>Detection</w:t>
            </w:r>
          </w:p>
        </w:tc>
        <w:tc>
          <w:tcPr>
            <w:tcW w:w="3319" w:type="dxa"/>
            <w:tcBorders/>
            <w:vAlign w:val="center"/>
          </w:tcPr>
          <w:p>
            <w:pPr>
              <w:pStyle w:val="TableContents"/>
              <w:bidi w:val="0"/>
              <w:spacing w:before="0" w:after="283"/>
              <w:jc w:val="left"/>
              <w:rPr/>
            </w:pPr>
            <w:r>
              <w:rPr/>
              <w:t>Golden-question evaluation score fell from 50/52 to 42/52 as the corpus grew</w:t>
            </w:r>
          </w:p>
        </w:tc>
      </w:tr>
      <w:tr>
        <w:trPr/>
        <w:tc>
          <w:tcPr>
            <w:tcW w:w="1574" w:type="dxa"/>
            <w:tcBorders/>
            <w:vAlign w:val="center"/>
          </w:tcPr>
          <w:p>
            <w:pPr>
              <w:pStyle w:val="TableContents"/>
              <w:bidi w:val="0"/>
              <w:spacing w:before="0" w:after="283"/>
              <w:jc w:val="left"/>
              <w:rPr/>
            </w:pPr>
            <w:r>
              <w:rPr/>
              <w:t>Containment</w:t>
            </w:r>
          </w:p>
        </w:tc>
        <w:tc>
          <w:tcPr>
            <w:tcW w:w="3319" w:type="dxa"/>
            <w:tcBorders/>
            <w:vAlign w:val="center"/>
          </w:tcPr>
          <w:p>
            <w:pPr>
              <w:pStyle w:val="TableContents"/>
              <w:bidi w:val="0"/>
              <w:spacing w:before="0" w:after="283"/>
              <w:jc w:val="left"/>
              <w:rPr/>
            </w:pPr>
            <w:r>
              <w:rPr/>
              <w:t>Defect was in the development corpus, not a customer deployment</w:t>
            </w:r>
          </w:p>
        </w:tc>
      </w:tr>
      <w:tr>
        <w:trPr/>
        <w:tc>
          <w:tcPr>
            <w:tcW w:w="1574" w:type="dxa"/>
            <w:tcBorders/>
            <w:vAlign w:val="center"/>
          </w:tcPr>
          <w:p>
            <w:pPr>
              <w:pStyle w:val="TableContents"/>
              <w:bidi w:val="0"/>
              <w:spacing w:before="0" w:after="283"/>
              <w:jc w:val="left"/>
              <w:rPr/>
            </w:pPr>
            <w:r>
              <w:rPr/>
              <w:t>Root cause — design</w:t>
            </w:r>
          </w:p>
        </w:tc>
        <w:tc>
          <w:tcPr>
            <w:tcW w:w="3319" w:type="dxa"/>
            <w:tcBorders/>
            <w:vAlign w:val="center"/>
          </w:tcPr>
          <w:p>
            <w:pPr>
              <w:pStyle w:val="TableContents"/>
              <w:bidi w:val="0"/>
              <w:spacing w:before="0" w:after="283"/>
              <w:jc w:val="left"/>
              <w:rPr/>
            </w:pPr>
            <w:r>
              <w:rPr/>
              <w:t>The isolation constraint was implemented per-retrieval-path rather than enforced at a single chokepoint, so a second path could be added without it</w:t>
            </w:r>
          </w:p>
        </w:tc>
      </w:tr>
      <w:tr>
        <w:trPr/>
        <w:tc>
          <w:tcPr>
            <w:tcW w:w="1574" w:type="dxa"/>
            <w:tcBorders/>
            <w:vAlign w:val="center"/>
          </w:tcPr>
          <w:p>
            <w:pPr>
              <w:pStyle w:val="TableContents"/>
              <w:bidi w:val="0"/>
              <w:spacing w:before="0" w:after="283"/>
              <w:jc w:val="left"/>
              <w:rPr/>
            </w:pPr>
            <w:r>
              <w:rPr/>
              <w:t>Root cause — verification</w:t>
            </w:r>
          </w:p>
        </w:tc>
        <w:tc>
          <w:tcPr>
            <w:tcW w:w="3319" w:type="dxa"/>
            <w:tcBorders/>
            <w:vAlign w:val="center"/>
          </w:tcPr>
          <w:p>
            <w:pPr>
              <w:pStyle w:val="TableContents"/>
              <w:bidi w:val="0"/>
              <w:spacing w:before="0" w:after="283"/>
              <w:jc w:val="left"/>
              <w:rPr/>
            </w:pPr>
            <w:r>
              <w:rPr/>
              <w:t>No test asserted isolation on the sparse path</w:t>
            </w:r>
          </w:p>
        </w:tc>
      </w:tr>
      <w:tr>
        <w:trPr/>
        <w:tc>
          <w:tcPr>
            <w:tcW w:w="1574" w:type="dxa"/>
            <w:tcBorders/>
            <w:vAlign w:val="center"/>
          </w:tcPr>
          <w:p>
            <w:pPr>
              <w:pStyle w:val="TableContents"/>
              <w:bidi w:val="0"/>
              <w:spacing w:before="0" w:after="283"/>
              <w:jc w:val="left"/>
              <w:rPr/>
            </w:pPr>
            <w:r>
              <w:rPr/>
              <w:t>Correction</w:t>
            </w:r>
          </w:p>
        </w:tc>
        <w:tc>
          <w:tcPr>
            <w:tcW w:w="3319" w:type="dxa"/>
            <w:tcBorders/>
            <w:vAlign w:val="center"/>
          </w:tcPr>
          <w:p>
            <w:pPr>
              <w:pStyle w:val="TableContents"/>
              <w:bidi w:val="0"/>
              <w:spacing w:before="0" w:after="283"/>
              <w:jc w:val="left"/>
              <w:rPr/>
            </w:pPr>
            <w:r>
              <w:rPr/>
              <w:t>Namespace-enforcing wrapper applied so the predicate cannot be bypassed by a retrieval path</w:t>
            </w:r>
          </w:p>
        </w:tc>
      </w:tr>
      <w:tr>
        <w:trPr/>
        <w:tc>
          <w:tcPr>
            <w:tcW w:w="1574" w:type="dxa"/>
            <w:tcBorders/>
            <w:vAlign w:val="center"/>
          </w:tcPr>
          <w:p>
            <w:pPr>
              <w:pStyle w:val="TableContents"/>
              <w:bidi w:val="0"/>
              <w:spacing w:before="0" w:after="283"/>
              <w:jc w:val="left"/>
              <w:rPr/>
            </w:pPr>
            <w:r>
              <w:rPr/>
              <w:t>Effectiveness verification</w:t>
            </w:r>
          </w:p>
        </w:tc>
        <w:tc>
          <w:tcPr>
            <w:tcW w:w="3319" w:type="dxa"/>
            <w:tcBorders/>
            <w:vAlign w:val="center"/>
          </w:tcPr>
          <w:p>
            <w:pPr>
              <w:pStyle w:val="TableContents"/>
              <w:bidi w:val="0"/>
              <w:spacing w:before="0" w:after="283"/>
              <w:jc w:val="left"/>
              <w:rPr/>
            </w:pPr>
            <w:r>
              <w:rPr/>
              <w:t xml:space="preserve">Query over the affected index returned </w:t>
            </w:r>
            <w:r>
              <w:rPr>
                <w:rStyle w:val="Strong"/>
              </w:rPr>
              <w:t>0 out-of-namespace hits from 359</w:t>
            </w:r>
            <w:r>
              <w:rPr/>
              <w:t xml:space="preserve">; golden evaluation re-run recovered to </w:t>
            </w:r>
            <w:r>
              <w:rPr>
                <w:rStyle w:val="Strong"/>
              </w:rPr>
              <w:t>49/52</w:t>
            </w:r>
          </w:p>
        </w:tc>
      </w:tr>
      <w:tr>
        <w:trPr/>
        <w:tc>
          <w:tcPr>
            <w:tcW w:w="1574" w:type="dxa"/>
            <w:tcBorders/>
            <w:vAlign w:val="center"/>
          </w:tcPr>
          <w:p>
            <w:pPr>
              <w:pStyle w:val="TableContents"/>
              <w:bidi w:val="0"/>
              <w:spacing w:before="0" w:after="283"/>
              <w:jc w:val="left"/>
              <w:rPr/>
            </w:pPr>
            <w:r>
              <w:rPr/>
              <w:t>What is still missing to make this a conformant record</w:t>
            </w:r>
          </w:p>
        </w:tc>
        <w:tc>
          <w:tcPr>
            <w:tcW w:w="3319" w:type="dxa"/>
            <w:tcBorders/>
            <w:vAlign w:val="center"/>
          </w:tcPr>
          <w:p>
            <w:pPr>
              <w:pStyle w:val="TableContents"/>
              <w:bidi w:val="0"/>
              <w:spacing w:before="0" w:after="283"/>
              <w:jc w:val="left"/>
              <w:rPr/>
            </w:pPr>
            <w:r>
              <w:rPr/>
              <w:t xml:space="preserve">An owning role, a due date, a </w:t>
            </w:r>
            <w:r>
              <w:rPr>
                <w:rStyle w:val="SourceText"/>
              </w:rPr>
              <w:t>REG-04</w:t>
            </w:r>
            <w:r>
              <w:rPr/>
              <w:t xml:space="preserve"> entry, a risk-register update, and a named verifier distinct from the implementer</w:t>
            </w:r>
          </w:p>
        </w:tc>
      </w:tr>
    </w:tbl>
    <w:p>
      <w:pPr>
        <w:pStyle w:val="BodyText"/>
        <w:bidi w:val="0"/>
        <w:jc w:val="left"/>
        <w:rPr/>
      </w:pPr>
      <w:r>
        <w:rPr/>
        <w:t xml:space="preserve">Three further real records of the same shape, each with correction + cause + verification present in the commit body and each </w:t>
      </w:r>
      <w:r>
        <w:rPr>
          <w:rStyle w:val="Strong"/>
        </w:rPr>
        <w:t>not</w:t>
      </w:r>
      <w:r>
        <w:rPr/>
        <w:t xml:space="preserve"> tracked as a CAPA record at the time:</w:t>
      </w:r>
    </w:p>
    <w:tbl>
      <w:tblPr>
        <w:tblW w:w="4893" w:type="dxa"/>
        <w:jc w:val="left"/>
        <w:tblInd w:w="0" w:type="dxa"/>
        <w:tblLayout w:type="fixed"/>
        <w:tblCellMar>
          <w:top w:w="28" w:type="dxa"/>
          <w:left w:w="28" w:type="dxa"/>
          <w:bottom w:w="28" w:type="dxa"/>
          <w:right w:w="28" w:type="dxa"/>
        </w:tblCellMar>
      </w:tblPr>
      <w:tblGrid>
        <w:gridCol w:w="948"/>
        <w:gridCol w:w="2205"/>
        <w:gridCol w:w="1740"/>
      </w:tblGrid>
      <w:tr>
        <w:trPr>
          <w:tblHeader w:val="true"/>
        </w:trPr>
        <w:tc>
          <w:tcPr>
            <w:tcW w:w="948" w:type="dxa"/>
            <w:tcBorders/>
            <w:vAlign w:val="center"/>
          </w:tcPr>
          <w:p>
            <w:pPr>
              <w:pStyle w:val="TableHeading"/>
              <w:suppressLineNumbers/>
              <w:shd w:fill="1F3A5F" w:val="clear"/>
              <w:bidi w:val="0"/>
              <w:spacing w:before="0" w:after="283"/>
              <w:jc w:val="center"/>
              <w:rPr/>
            </w:pPr>
            <w:r>
              <w:rPr/>
              <w:t>Commit</w:t>
            </w:r>
          </w:p>
        </w:tc>
        <w:tc>
          <w:tcPr>
            <w:tcW w:w="2205" w:type="dxa"/>
            <w:tcBorders/>
            <w:vAlign w:val="center"/>
          </w:tcPr>
          <w:p>
            <w:pPr>
              <w:pStyle w:val="TableHeading"/>
              <w:suppressLineNumbers/>
              <w:shd w:fill="1F3A5F" w:val="clear"/>
              <w:bidi w:val="0"/>
              <w:spacing w:before="0" w:after="283"/>
              <w:jc w:val="center"/>
              <w:rPr/>
            </w:pPr>
            <w:r>
              <w:rPr/>
              <w:t>Nonconformity</w:t>
            </w:r>
          </w:p>
        </w:tc>
        <w:tc>
          <w:tcPr>
            <w:tcW w:w="1740" w:type="dxa"/>
            <w:tcBorders/>
            <w:vAlign w:val="center"/>
          </w:tcPr>
          <w:p>
            <w:pPr>
              <w:pStyle w:val="TableHeading"/>
              <w:suppressLineNumbers/>
              <w:shd w:fill="1F3A5F" w:val="clear"/>
              <w:bidi w:val="0"/>
              <w:spacing w:before="0" w:after="283"/>
              <w:jc w:val="center"/>
              <w:rPr/>
            </w:pPr>
            <w:r>
              <w:rPr/>
              <w:t>Verification evidence recorded</w:t>
            </w:r>
          </w:p>
        </w:tc>
      </w:tr>
      <w:tr>
        <w:trPr/>
        <w:tc>
          <w:tcPr>
            <w:tcW w:w="948" w:type="dxa"/>
            <w:tcBorders/>
            <w:vAlign w:val="center"/>
          </w:tcPr>
          <w:p>
            <w:pPr>
              <w:pStyle w:val="TableContents"/>
              <w:bidi w:val="0"/>
              <w:spacing w:before="0" w:after="283"/>
              <w:jc w:val="left"/>
              <w:rPr/>
            </w:pPr>
            <w:r>
              <w:rPr>
                <w:rStyle w:val="SourceText"/>
              </w:rPr>
              <w:t>558eaae</w:t>
            </w:r>
            <w:r>
              <w:rPr/>
              <w:t xml:space="preserve"> (2026-07-29)</w:t>
            </w:r>
          </w:p>
        </w:tc>
        <w:tc>
          <w:tcPr>
            <w:tcW w:w="2205" w:type="dxa"/>
            <w:tcBorders/>
            <w:vAlign w:val="center"/>
          </w:tcPr>
          <w:p>
            <w:pPr>
              <w:pStyle w:val="TableContents"/>
              <w:bidi w:val="0"/>
              <w:spacing w:before="0" w:after="283"/>
              <w:jc w:val="left"/>
              <w:rPr/>
            </w:pPr>
            <w:r>
              <w:rPr>
                <w:rStyle w:val="SourceText"/>
              </w:rPr>
              <w:t>/api/transcribe/speak</w:t>
            </w:r>
            <w:r>
              <w:rPr/>
              <w:t xml:space="preserve"> returned null audio — wrong voice service port, and the failure was silent because it was swallowed by a debug-level </w:t>
            </w:r>
            <w:r>
              <w:rPr>
                <w:rStyle w:val="SourceText"/>
              </w:rPr>
              <w:t>except</w:t>
            </w:r>
          </w:p>
        </w:tc>
        <w:tc>
          <w:tcPr>
            <w:tcW w:w="1740" w:type="dxa"/>
            <w:tcBorders/>
            <w:vAlign w:val="center"/>
          </w:tcPr>
          <w:p>
            <w:pPr>
              <w:pStyle w:val="TableContents"/>
              <w:bidi w:val="0"/>
              <w:spacing w:before="0" w:after="283"/>
              <w:jc w:val="left"/>
              <w:rPr/>
            </w:pPr>
            <w:r>
              <w:rPr/>
              <w:t>Three real WAV outputs produced and checked</w:t>
            </w:r>
          </w:p>
        </w:tc>
      </w:tr>
      <w:tr>
        <w:trPr/>
        <w:tc>
          <w:tcPr>
            <w:tcW w:w="948" w:type="dxa"/>
            <w:tcBorders/>
            <w:vAlign w:val="center"/>
          </w:tcPr>
          <w:p>
            <w:pPr>
              <w:pStyle w:val="TableContents"/>
              <w:bidi w:val="0"/>
              <w:spacing w:before="0" w:after="283"/>
              <w:jc w:val="left"/>
              <w:rPr/>
            </w:pPr>
            <w:r>
              <w:rPr>
                <w:rStyle w:val="SourceText"/>
              </w:rPr>
              <w:t>724fb98</w:t>
            </w:r>
            <w:r>
              <w:rPr/>
              <w:t xml:space="preserve"> (2026-09-04)</w:t>
            </w:r>
          </w:p>
        </w:tc>
        <w:tc>
          <w:tcPr>
            <w:tcW w:w="2205" w:type="dxa"/>
            <w:tcBorders/>
            <w:vAlign w:val="center"/>
          </w:tcPr>
          <w:p>
            <w:pPr>
              <w:pStyle w:val="TableContents"/>
              <w:bidi w:val="0"/>
              <w:spacing w:before="0" w:after="283"/>
              <w:jc w:val="left"/>
              <w:rPr/>
            </w:pPr>
            <w:r>
              <w:rPr/>
              <w:t>Three build and runtime breakages surfaced only by a clean rebuild</w:t>
            </w:r>
          </w:p>
        </w:tc>
        <w:tc>
          <w:tcPr>
            <w:tcW w:w="1740" w:type="dxa"/>
            <w:tcBorders/>
            <w:vAlign w:val="center"/>
          </w:tcPr>
          <w:p>
            <w:pPr>
              <w:pStyle w:val="TableContents"/>
              <w:bidi w:val="0"/>
              <w:spacing w:before="0" w:after="283"/>
              <w:jc w:val="left"/>
              <w:rPr/>
            </w:pPr>
            <w:r>
              <w:rPr/>
              <w:t>From-scratch rebuild completed with all six containers healthy</w:t>
            </w:r>
          </w:p>
        </w:tc>
      </w:tr>
      <w:tr>
        <w:trPr/>
        <w:tc>
          <w:tcPr>
            <w:tcW w:w="948" w:type="dxa"/>
            <w:tcBorders/>
            <w:vAlign w:val="center"/>
          </w:tcPr>
          <w:p>
            <w:pPr>
              <w:pStyle w:val="TableContents"/>
              <w:bidi w:val="0"/>
              <w:spacing w:before="0" w:after="283"/>
              <w:jc w:val="left"/>
              <w:rPr/>
            </w:pPr>
            <w:r>
              <w:rPr>
                <w:rStyle w:val="SourceText"/>
              </w:rPr>
              <w:t>ebd232f</w:t>
            </w:r>
            <w:r>
              <w:rPr/>
              <w:t xml:space="preserve"> (2026-07-29)</w:t>
            </w:r>
          </w:p>
        </w:tc>
        <w:tc>
          <w:tcPr>
            <w:tcW w:w="2205" w:type="dxa"/>
            <w:tcBorders/>
            <w:vAlign w:val="center"/>
          </w:tcPr>
          <w:p>
            <w:pPr>
              <w:pStyle w:val="TableContents"/>
              <w:bidi w:val="0"/>
              <w:spacing w:before="0" w:after="283"/>
              <w:jc w:val="left"/>
              <w:rPr/>
            </w:pPr>
            <w:r>
              <w:rPr/>
              <w:t>Five retrieval defects found by the golden-question evaluation, including a namespace leak</w:t>
            </w:r>
          </w:p>
        </w:tc>
        <w:tc>
          <w:tcPr>
            <w:tcW w:w="1740" w:type="dxa"/>
            <w:tcBorders/>
            <w:vAlign w:val="center"/>
          </w:tcPr>
          <w:p>
            <w:pPr>
              <w:pStyle w:val="TableContents"/>
              <w:bidi w:val="0"/>
              <w:spacing w:before="0" w:after="283"/>
              <w:jc w:val="left"/>
              <w:rPr/>
            </w:pPr>
            <w:r>
              <w:rPr/>
              <w:t>Golden-question evaluation re-run</w:t>
            </w:r>
          </w:p>
        </w:tc>
      </w:tr>
    </w:tbl>
    <w:p>
      <w:pPr>
        <w:pStyle w:val="BodyText"/>
        <w:bidi w:val="0"/>
        <w:jc w:val="left"/>
        <w:rPr/>
      </w:pPr>
      <w:r>
        <w:rPr/>
        <w:t xml:space="preserve">Two further commits illustrate the </w:t>
      </w:r>
      <w:r>
        <w:rPr>
          <w:rStyle w:val="Strong"/>
        </w:rPr>
        <w:t>silent-failure</w:t>
      </w:r>
      <w:r>
        <w:rPr/>
        <w:t xml:space="preserve"> and </w:t>
      </w:r>
      <w:r>
        <w:rPr>
          <w:rStyle w:val="Strong"/>
        </w:rPr>
        <w:t>measured-worse</w:t>
      </w:r>
      <w:r>
        <w:rPr/>
        <w:t xml:space="preserve"> patterns that this procedure exists to catch: </w:t>
      </w:r>
      <w:r>
        <w:rPr>
          <w:rStyle w:val="SourceText"/>
        </w:rPr>
        <w:t>73f0b4f</w:t>
      </w:r>
      <w:r>
        <w:rPr/>
        <w:t xml:space="preserve"> (2026-07-29) — the voice WebSocket authentication gate was silently non-functional because the wrong environment variable name was passed, so a control believed to be operating was not; and </w:t>
      </w:r>
      <w:r>
        <w:rPr>
          <w:rStyle w:val="SourceText"/>
        </w:rPr>
        <w:t>2decb99</w:t>
      </w:r>
      <w:r>
        <w:rPr/>
        <w:t xml:space="preserve"> (2026-07-30) — a feature was gated off by default because measurement showed it performed worse than the baseline, which is a correct response to a negative result rather than a defect.</w:t>
      </w:r>
    </w:p>
    <w:p>
      <w:pPr>
        <w:pStyle w:val="BodyText"/>
        <w:bidi w:val="0"/>
        <w:jc w:val="left"/>
        <w:rPr/>
      </w:pPr>
      <w:r>
        <w:rPr>
          <w:rStyle w:val="Strong"/>
        </w:rPr>
        <w:t>The pattern in the evidence.</w:t>
      </w:r>
      <w:r>
        <w:rPr/>
        <w:t xml:space="preserve"> 22 of 202 commits are </w:t>
      </w:r>
      <w:r>
        <w:rPr>
          <w:rStyle w:val="SourceText"/>
        </w:rPr>
        <w:t>fix:</w:t>
      </w:r>
      <w:r>
        <w:rPr/>
        <w:t xml:space="preserve"> commits. </w:t>
      </w:r>
      <w:r>
        <w:rPr>
          <w:rStyle w:val="SourceText"/>
        </w:rPr>
        <w:t>eval/paper/results/REGRESSION_AND_FIXES.json</w:t>
      </w:r>
      <w:r>
        <w:rPr/>
        <w:t xml:space="preserve"> records a baseline, a regression, a root cause, the fixes and the non-regression evidence, and states that the defect was </w:t>
      </w:r>
      <w:r>
        <w:rPr>
          <w:rStyle w:val="Strong"/>
        </w:rPr>
        <w:t>"PRE-EXISTING and latent"</w:t>
      </w:r>
      <w:r>
        <w:rPr/>
        <w:t>, becoming visible only as the corpus grew. That is precisely the case in which correction alone is insufficient: a latent defect implies a verification gap, and the verification gap is a second cause requiring its own action.</w:t>
      </w:r>
    </w:p>
    <w:p>
      <w:pPr>
        <w:pStyle w:val="Heading2"/>
        <w:bidi w:val="0"/>
        <w:jc w:val="left"/>
        <w:rPr/>
      </w:pPr>
      <w:r>
        <w:rPr/>
        <w:t>10. Continual improvement (10.1, 10.3)</w:t>
      </w:r>
    </w:p>
    <w:p>
      <w:pPr>
        <w:pStyle w:val="BodyText"/>
        <w:bidi w:val="0"/>
        <w:jc w:val="left"/>
        <w:rPr/>
      </w:pPr>
      <w:r>
        <w:rPr/>
        <w:t>Ajace AI improves the suitability, adequacy and effectiveness of the QMS by:</w:t>
      </w:r>
    </w:p>
    <w:tbl>
      <w:tblPr>
        <w:tblW w:w="4893" w:type="dxa"/>
        <w:jc w:val="left"/>
        <w:tblInd w:w="0" w:type="dxa"/>
        <w:tblLayout w:type="fixed"/>
        <w:tblCellMar>
          <w:top w:w="28" w:type="dxa"/>
          <w:left w:w="28" w:type="dxa"/>
          <w:bottom w:w="28" w:type="dxa"/>
          <w:right w:w="28" w:type="dxa"/>
        </w:tblCellMar>
      </w:tblPr>
      <w:tblGrid>
        <w:gridCol w:w="1427"/>
        <w:gridCol w:w="2150"/>
        <w:gridCol w:w="1316"/>
      </w:tblGrid>
      <w:tr>
        <w:trPr>
          <w:tblHeader w:val="true"/>
        </w:trPr>
        <w:tc>
          <w:tcPr>
            <w:tcW w:w="1427" w:type="dxa"/>
            <w:tcBorders/>
            <w:vAlign w:val="center"/>
          </w:tcPr>
          <w:p>
            <w:pPr>
              <w:pStyle w:val="TableHeading"/>
              <w:suppressLineNumbers/>
              <w:shd w:fill="1F3A5F" w:val="clear"/>
              <w:bidi w:val="0"/>
              <w:spacing w:before="0" w:after="283"/>
              <w:jc w:val="center"/>
              <w:rPr/>
            </w:pPr>
            <w:r>
              <w:rPr/>
              <w:t>Input</w:t>
            </w:r>
          </w:p>
        </w:tc>
        <w:tc>
          <w:tcPr>
            <w:tcW w:w="2150" w:type="dxa"/>
            <w:tcBorders/>
            <w:vAlign w:val="center"/>
          </w:tcPr>
          <w:p>
            <w:pPr>
              <w:pStyle w:val="TableHeading"/>
              <w:suppressLineNumbers/>
              <w:shd w:fill="1F3A5F" w:val="clear"/>
              <w:bidi w:val="0"/>
              <w:spacing w:before="0" w:after="283"/>
              <w:jc w:val="center"/>
              <w:rPr/>
            </w:pPr>
            <w:r>
              <w:rPr/>
              <w:t>Mechanism</w:t>
            </w:r>
          </w:p>
        </w:tc>
        <w:tc>
          <w:tcPr>
            <w:tcW w:w="1316" w:type="dxa"/>
            <w:tcBorders/>
            <w:vAlign w:val="center"/>
          </w:tcPr>
          <w:p>
            <w:pPr>
              <w:pStyle w:val="TableHeading"/>
              <w:suppressLineNumbers/>
              <w:shd w:fill="1F3A5F" w:val="clear"/>
              <w:bidi w:val="0"/>
              <w:spacing w:before="0" w:after="283"/>
              <w:jc w:val="center"/>
              <w:rPr/>
            </w:pPr>
            <w:r>
              <w:rPr/>
              <w:t>Where it lands</w:t>
            </w:r>
          </w:p>
        </w:tc>
      </w:tr>
      <w:tr>
        <w:trPr/>
        <w:tc>
          <w:tcPr>
            <w:tcW w:w="1427" w:type="dxa"/>
            <w:tcBorders/>
            <w:vAlign w:val="center"/>
          </w:tcPr>
          <w:p>
            <w:pPr>
              <w:pStyle w:val="TableContents"/>
              <w:bidi w:val="0"/>
              <w:spacing w:before="0" w:after="283"/>
              <w:jc w:val="left"/>
              <w:rPr/>
            </w:pPr>
            <w:r>
              <w:rPr/>
              <w:t>Analysis of nonconformity data</w:t>
            </w:r>
          </w:p>
        </w:tc>
        <w:tc>
          <w:tcPr>
            <w:tcW w:w="2150" w:type="dxa"/>
            <w:tcBorders/>
            <w:vAlign w:val="center"/>
          </w:tcPr>
          <w:p>
            <w:pPr>
              <w:pStyle w:val="TableContents"/>
              <w:bidi w:val="0"/>
              <w:spacing w:before="0" w:after="283"/>
              <w:jc w:val="left"/>
              <w:rPr/>
            </w:pPr>
            <w:r>
              <w:rPr/>
              <w:t xml:space="preserve">Trends across </w:t>
            </w:r>
            <w:r>
              <w:rPr>
                <w:rStyle w:val="SourceText"/>
              </w:rPr>
              <w:t>REG-04</w:t>
            </w:r>
            <w:r>
              <w:rPr/>
              <w:t xml:space="preserve"> — repeated cause categories, repeated affected components, actions closed without effectiveness evidence</w:t>
            </w:r>
          </w:p>
        </w:tc>
        <w:tc>
          <w:tcPr>
            <w:tcW w:w="1316" w:type="dxa"/>
            <w:tcBorders/>
            <w:vAlign w:val="center"/>
          </w:tcPr>
          <w:p>
            <w:pPr>
              <w:pStyle w:val="TableContents"/>
              <w:bidi w:val="0"/>
              <w:spacing w:before="0" w:after="283"/>
              <w:jc w:val="left"/>
              <w:rPr/>
            </w:pPr>
            <w:r>
              <w:rPr/>
              <w:t>Management review (</w:t>
            </w:r>
            <w:r>
              <w:rPr>
                <w:rStyle w:val="SourceText"/>
              </w:rPr>
              <w:t>SOP-15</w:t>
            </w:r>
            <w:r>
              <w:rPr/>
              <w:t xml:space="preserve"> §5.6)</w:t>
            </w:r>
          </w:p>
        </w:tc>
      </w:tr>
      <w:tr>
        <w:trPr/>
        <w:tc>
          <w:tcPr>
            <w:tcW w:w="1427" w:type="dxa"/>
            <w:tcBorders/>
            <w:vAlign w:val="center"/>
          </w:tcPr>
          <w:p>
            <w:pPr>
              <w:pStyle w:val="TableContents"/>
              <w:bidi w:val="0"/>
              <w:spacing w:before="0" w:after="283"/>
              <w:jc w:val="left"/>
              <w:rPr/>
            </w:pPr>
            <w:r>
              <w:rPr/>
              <w:t>Evaluation and test results, including negative ones</w:t>
            </w:r>
          </w:p>
        </w:tc>
        <w:tc>
          <w:tcPr>
            <w:tcW w:w="2150" w:type="dxa"/>
            <w:tcBorders/>
            <w:vAlign w:val="center"/>
          </w:tcPr>
          <w:p>
            <w:pPr>
              <w:pStyle w:val="TableContents"/>
              <w:bidi w:val="0"/>
              <w:spacing w:before="0" w:after="283"/>
              <w:jc w:val="left"/>
              <w:rPr/>
            </w:pPr>
            <w:r>
              <w:rPr>
                <w:rStyle w:val="SourceText"/>
              </w:rPr>
              <w:t>SOP-12</w:t>
            </w:r>
            <w:r>
              <w:rPr/>
              <w:t xml:space="preserve">; the golden evaluation; </w:t>
            </w:r>
            <w:r>
              <w:rPr>
                <w:rStyle w:val="SourceText"/>
              </w:rPr>
              <w:t>eval/paper/results/SUMMARY.json</w:t>
            </w:r>
            <w:r>
              <w:rPr/>
              <w:t>, which records honest negative findings against the organisation's own published paper</w:t>
            </w:r>
          </w:p>
        </w:tc>
        <w:tc>
          <w:tcPr>
            <w:tcW w:w="1316" w:type="dxa"/>
            <w:tcBorders/>
            <w:vAlign w:val="center"/>
          </w:tcPr>
          <w:p>
            <w:pPr>
              <w:pStyle w:val="TableContents"/>
              <w:bidi w:val="0"/>
              <w:spacing w:before="0" w:after="283"/>
              <w:jc w:val="left"/>
              <w:rPr/>
            </w:pPr>
            <w:r>
              <w:rPr/>
              <w:t>Management review (</w:t>
            </w:r>
            <w:r>
              <w:rPr>
                <w:rStyle w:val="SourceText"/>
              </w:rPr>
              <w:t>SOP-15</w:t>
            </w:r>
            <w:r>
              <w:rPr/>
              <w:t xml:space="preserve"> §5.5)</w:t>
            </w:r>
          </w:p>
        </w:tc>
      </w:tr>
      <w:tr>
        <w:trPr/>
        <w:tc>
          <w:tcPr>
            <w:tcW w:w="1427" w:type="dxa"/>
            <w:tcBorders/>
            <w:vAlign w:val="center"/>
          </w:tcPr>
          <w:p>
            <w:pPr>
              <w:pStyle w:val="TableContents"/>
              <w:bidi w:val="0"/>
              <w:spacing w:before="0" w:after="283"/>
              <w:jc w:val="left"/>
              <w:rPr/>
            </w:pPr>
            <w:r>
              <w:rPr/>
              <w:t>Audit findings and observations</w:t>
            </w:r>
          </w:p>
        </w:tc>
        <w:tc>
          <w:tcPr>
            <w:tcW w:w="2150" w:type="dxa"/>
            <w:tcBorders/>
            <w:vAlign w:val="center"/>
          </w:tcPr>
          <w:p>
            <w:pPr>
              <w:pStyle w:val="TableContents"/>
              <w:bidi w:val="0"/>
              <w:spacing w:before="0" w:after="283"/>
              <w:jc w:val="left"/>
              <w:rPr/>
            </w:pPr>
            <w:r>
              <w:rPr>
                <w:rStyle w:val="SourceText"/>
              </w:rPr>
              <w:t>SOP-13</w:t>
            </w:r>
          </w:p>
        </w:tc>
        <w:tc>
          <w:tcPr>
            <w:tcW w:w="1316" w:type="dxa"/>
            <w:tcBorders/>
            <w:vAlign w:val="center"/>
          </w:tcPr>
          <w:p>
            <w:pPr>
              <w:pStyle w:val="TableContents"/>
              <w:bidi w:val="0"/>
              <w:spacing w:before="0" w:after="283"/>
              <w:jc w:val="left"/>
              <w:rPr/>
            </w:pPr>
            <w:r>
              <w:rPr/>
              <w:t>Management review (</w:t>
            </w:r>
            <w:r>
              <w:rPr>
                <w:rStyle w:val="SourceText"/>
              </w:rPr>
              <w:t>SOP-15</w:t>
            </w:r>
            <w:r>
              <w:rPr/>
              <w:t xml:space="preserve"> §5.8)</w:t>
            </w:r>
          </w:p>
        </w:tc>
      </w:tr>
      <w:tr>
        <w:trPr/>
        <w:tc>
          <w:tcPr>
            <w:tcW w:w="1427" w:type="dxa"/>
            <w:tcBorders/>
            <w:vAlign w:val="center"/>
          </w:tcPr>
          <w:p>
            <w:pPr>
              <w:pStyle w:val="TableContents"/>
              <w:bidi w:val="0"/>
              <w:spacing w:before="0" w:after="283"/>
              <w:jc w:val="left"/>
              <w:rPr/>
            </w:pPr>
            <w:r>
              <w:rPr/>
              <w:t>Opportunities for improvement raised by anyone</w:t>
            </w:r>
          </w:p>
        </w:tc>
        <w:tc>
          <w:tcPr>
            <w:tcW w:w="2150" w:type="dxa"/>
            <w:tcBorders/>
            <w:vAlign w:val="center"/>
          </w:tcPr>
          <w:p>
            <w:pPr>
              <w:pStyle w:val="TableContents"/>
              <w:bidi w:val="0"/>
              <w:spacing w:before="0" w:after="283"/>
              <w:jc w:val="left"/>
              <w:rPr/>
            </w:pPr>
            <w:r>
              <w:rPr>
                <w:rStyle w:val="SourceText"/>
              </w:rPr>
              <w:t>REG-04</w:t>
            </w:r>
            <w:r>
              <w:rPr/>
              <w:t>, marked as OFI rather than NC</w:t>
            </w:r>
          </w:p>
        </w:tc>
        <w:tc>
          <w:tcPr>
            <w:tcW w:w="1316" w:type="dxa"/>
            <w:tcBorders/>
            <w:vAlign w:val="center"/>
          </w:tcPr>
          <w:p>
            <w:pPr>
              <w:pStyle w:val="TableContents"/>
              <w:bidi w:val="0"/>
              <w:spacing w:before="0" w:after="283"/>
              <w:jc w:val="left"/>
              <w:rPr/>
            </w:pPr>
            <w:r>
              <w:rPr/>
              <w:t>Management review (</w:t>
            </w:r>
            <w:r>
              <w:rPr>
                <w:rStyle w:val="SourceText"/>
              </w:rPr>
              <w:t>SOP-15</w:t>
            </w:r>
            <w:r>
              <w:rPr/>
              <w:t xml:space="preserve"> §5.11)</w:t>
            </w:r>
          </w:p>
        </w:tc>
      </w:tr>
      <w:tr>
        <w:trPr/>
        <w:tc>
          <w:tcPr>
            <w:tcW w:w="1427" w:type="dxa"/>
            <w:tcBorders/>
            <w:vAlign w:val="center"/>
          </w:tcPr>
          <w:p>
            <w:pPr>
              <w:pStyle w:val="TableContents"/>
              <w:bidi w:val="0"/>
              <w:spacing w:before="0" w:after="283"/>
              <w:jc w:val="left"/>
              <w:rPr/>
            </w:pPr>
            <w:r>
              <w:rPr/>
              <w:t>Risk register review</w:t>
            </w:r>
          </w:p>
        </w:tc>
        <w:tc>
          <w:tcPr>
            <w:tcW w:w="2150" w:type="dxa"/>
            <w:tcBorders/>
            <w:vAlign w:val="center"/>
          </w:tcPr>
          <w:p>
            <w:pPr>
              <w:pStyle w:val="TableContents"/>
              <w:bidi w:val="0"/>
              <w:spacing w:before="0" w:after="283"/>
              <w:jc w:val="left"/>
              <w:rPr/>
            </w:pPr>
            <w:r>
              <w:rPr>
                <w:rStyle w:val="SourceText"/>
              </w:rPr>
              <w:t>SOP-02</w:t>
            </w:r>
            <w:r>
              <w:rPr/>
              <w:t xml:space="preserve"> §10</w:t>
            </w:r>
          </w:p>
        </w:tc>
        <w:tc>
          <w:tcPr>
            <w:tcW w:w="1316" w:type="dxa"/>
            <w:tcBorders/>
            <w:vAlign w:val="center"/>
          </w:tcPr>
          <w:p>
            <w:pPr>
              <w:pStyle w:val="TableContents"/>
              <w:bidi w:val="0"/>
              <w:spacing w:before="0" w:after="283"/>
              <w:jc w:val="left"/>
              <w:rPr/>
            </w:pPr>
            <w:r>
              <w:rPr/>
              <w:t>Management review (</w:t>
            </w:r>
            <w:r>
              <w:rPr>
                <w:rStyle w:val="SourceText"/>
              </w:rPr>
              <w:t>SOP-15</w:t>
            </w:r>
            <w:r>
              <w:rPr/>
              <w:t xml:space="preserve"> §5.10)</w:t>
            </w:r>
          </w:p>
        </w:tc>
      </w:tr>
    </w:tbl>
    <w:p>
      <w:pPr>
        <w:pStyle w:val="BodyText"/>
        <w:bidi w:val="0"/>
        <w:jc w:val="left"/>
        <w:rPr/>
      </w:pPr>
      <w:r>
        <w:rPr/>
        <w:t>Improvement opportunities that are accepted become actions with an owning role and a date, tracked in the same register as corrective actions so that there is one list of outstanding commitments and not two.</w:t>
      </w:r>
    </w:p>
    <w:p>
      <w:pPr>
        <w:pStyle w:val="BodyText"/>
        <w:bidi w:val="0"/>
        <w:jc w:val="left"/>
        <w:rPr/>
      </w:pPr>
      <w:r>
        <w:rPr>
          <w:rStyle w:val="Strong"/>
        </w:rPr>
        <w:t>Reporting a negative result is an improvement act, not a failure.</w:t>
      </w:r>
      <w:r>
        <w:rPr/>
        <w:t xml:space="preserve"> </w:t>
      </w:r>
      <w:r>
        <w:rPr>
          <w:rStyle w:val="SourceText"/>
        </w:rPr>
        <w:t>eval/paper/results/SUMMARY.json</w:t>
      </w:r>
      <w:r>
        <w:rPr/>
        <w:t xml:space="preserve"> recording E1 as contradicting the organisation's own paper, E2 as </w:t>
      </w:r>
      <w:r>
        <w:rPr>
          <w:rStyle w:val="SourceText"/>
        </w:rPr>
        <w:t>not_run</w:t>
      </w:r>
      <w:r>
        <w:rPr/>
        <w:t xml:space="preserve"> with its reason, and E4 containment as real but silent, is the behaviour this procedure intends to preserve.</w:t>
      </w:r>
    </w:p>
    <w:p>
      <w:pPr>
        <w:pStyle w:val="Heading2"/>
        <w:bidi w:val="0"/>
        <w:jc w:val="left"/>
        <w:rPr/>
      </w:pPr>
      <w:r>
        <w:rPr/>
        <w:t>11. Records</w:t>
      </w:r>
    </w:p>
    <w:tbl>
      <w:tblPr>
        <w:tblW w:w="4893" w:type="dxa"/>
        <w:jc w:val="left"/>
        <w:tblInd w:w="0" w:type="dxa"/>
        <w:tblLayout w:type="fixed"/>
        <w:tblCellMar>
          <w:top w:w="28" w:type="dxa"/>
          <w:left w:w="28" w:type="dxa"/>
          <w:bottom w:w="28" w:type="dxa"/>
          <w:right w:w="28" w:type="dxa"/>
        </w:tblCellMar>
      </w:tblPr>
      <w:tblGrid>
        <w:gridCol w:w="1560"/>
        <w:gridCol w:w="2156"/>
        <w:gridCol w:w="1177"/>
      </w:tblGrid>
      <w:tr>
        <w:trPr>
          <w:tblHeader w:val="true"/>
        </w:trPr>
        <w:tc>
          <w:tcPr>
            <w:tcW w:w="1560" w:type="dxa"/>
            <w:tcBorders/>
            <w:vAlign w:val="center"/>
          </w:tcPr>
          <w:p>
            <w:pPr>
              <w:pStyle w:val="TableHeading"/>
              <w:suppressLineNumbers/>
              <w:shd w:fill="1F3A5F" w:val="clear"/>
              <w:bidi w:val="0"/>
              <w:spacing w:before="0" w:after="283"/>
              <w:jc w:val="center"/>
              <w:rPr/>
            </w:pPr>
            <w:r>
              <w:rPr/>
              <w:t>Record</w:t>
            </w:r>
          </w:p>
        </w:tc>
        <w:tc>
          <w:tcPr>
            <w:tcW w:w="2156" w:type="dxa"/>
            <w:tcBorders/>
            <w:vAlign w:val="center"/>
          </w:tcPr>
          <w:p>
            <w:pPr>
              <w:pStyle w:val="TableHeading"/>
              <w:suppressLineNumbers/>
              <w:shd w:fill="1F3A5F" w:val="clear"/>
              <w:bidi w:val="0"/>
              <w:spacing w:before="0" w:after="283"/>
              <w:jc w:val="center"/>
              <w:rPr/>
            </w:pPr>
            <w:r>
              <w:rPr/>
              <w:t>Location</w:t>
            </w:r>
          </w:p>
        </w:tc>
        <w:tc>
          <w:tcPr>
            <w:tcW w:w="1177" w:type="dxa"/>
            <w:tcBorders/>
            <w:vAlign w:val="center"/>
          </w:tcPr>
          <w:p>
            <w:pPr>
              <w:pStyle w:val="TableHeading"/>
              <w:suppressLineNumbers/>
              <w:shd w:fill="1F3A5F" w:val="clear"/>
              <w:bidi w:val="0"/>
              <w:spacing w:before="0" w:after="283"/>
              <w:jc w:val="center"/>
              <w:rPr/>
            </w:pPr>
            <w:r>
              <w:rPr/>
              <w:t>Retention</w:t>
            </w:r>
          </w:p>
        </w:tc>
      </w:tr>
      <w:tr>
        <w:trPr/>
        <w:tc>
          <w:tcPr>
            <w:tcW w:w="1560" w:type="dxa"/>
            <w:tcBorders/>
            <w:vAlign w:val="center"/>
          </w:tcPr>
          <w:p>
            <w:pPr>
              <w:pStyle w:val="TableContents"/>
              <w:bidi w:val="0"/>
              <w:spacing w:before="0" w:after="283"/>
              <w:jc w:val="left"/>
              <w:rPr/>
            </w:pPr>
            <w:r>
              <w:rPr/>
              <w:t>Nonconformity and corrective action record</w:t>
            </w:r>
          </w:p>
        </w:tc>
        <w:tc>
          <w:tcPr>
            <w:tcW w:w="2156" w:type="dxa"/>
            <w:tcBorders/>
            <w:vAlign w:val="center"/>
          </w:tcPr>
          <w:p>
            <w:pPr>
              <w:pStyle w:val="TableContents"/>
              <w:bidi w:val="0"/>
              <w:spacing w:before="0" w:after="283"/>
              <w:jc w:val="left"/>
              <w:rPr/>
            </w:pPr>
            <w:r>
              <w:rPr/>
              <w:t xml:space="preserve">Completed copy of </w:t>
            </w:r>
            <w:r>
              <w:rPr>
                <w:rStyle w:val="SourceText"/>
              </w:rPr>
              <w:t>forms/FRM-05_Nonconformity_and_CAPA_Record.md</w:t>
            </w:r>
            <w:r>
              <w:rPr/>
              <w:t xml:space="preserve">, stored under </w:t>
            </w:r>
            <w:r>
              <w:rPr>
                <w:rStyle w:val="SourceText"/>
              </w:rPr>
              <w:t>docs/qms/records/capa/</w:t>
            </w:r>
          </w:p>
        </w:tc>
        <w:tc>
          <w:tcPr>
            <w:tcW w:w="1177" w:type="dxa"/>
            <w:tcBorders/>
            <w:vAlign w:val="center"/>
          </w:tcPr>
          <w:p>
            <w:pPr>
              <w:pStyle w:val="TableContents"/>
              <w:bidi w:val="0"/>
              <w:spacing w:before="0" w:after="283"/>
              <w:jc w:val="left"/>
              <w:rPr/>
            </w:pPr>
            <w:r>
              <w:rPr/>
              <w:t>3 years after closure (</w:t>
            </w:r>
            <w:r>
              <w:rPr>
                <w:rStyle w:val="SourceText"/>
              </w:rPr>
              <w:t>SOP-01</w:t>
            </w:r>
            <w:r>
              <w:rPr/>
              <w:t xml:space="preserve"> §8)</w:t>
            </w:r>
          </w:p>
        </w:tc>
      </w:tr>
      <w:tr>
        <w:trPr/>
        <w:tc>
          <w:tcPr>
            <w:tcW w:w="1560" w:type="dxa"/>
            <w:tcBorders/>
            <w:vAlign w:val="center"/>
          </w:tcPr>
          <w:p>
            <w:pPr>
              <w:pStyle w:val="TableContents"/>
              <w:bidi w:val="0"/>
              <w:spacing w:before="0" w:after="283"/>
              <w:jc w:val="left"/>
              <w:rPr/>
            </w:pPr>
            <w:r>
              <w:rPr/>
              <w:t>Nonconformity and CAPA log</w:t>
            </w:r>
          </w:p>
        </w:tc>
        <w:tc>
          <w:tcPr>
            <w:tcW w:w="2156" w:type="dxa"/>
            <w:tcBorders/>
            <w:vAlign w:val="center"/>
          </w:tcPr>
          <w:p>
            <w:pPr>
              <w:pStyle w:val="TableContents"/>
              <w:bidi w:val="0"/>
              <w:spacing w:before="0" w:after="283"/>
              <w:jc w:val="left"/>
              <w:rPr/>
            </w:pPr>
            <w:r>
              <w:rPr>
                <w:rStyle w:val="SourceText"/>
              </w:rPr>
              <w:t>registers/REG-04_Nonconformity_and_CAPA_Log.md</w:t>
            </w:r>
          </w:p>
        </w:tc>
        <w:tc>
          <w:tcPr>
            <w:tcW w:w="1177" w:type="dxa"/>
            <w:tcBorders/>
            <w:vAlign w:val="center"/>
          </w:tcPr>
          <w:p>
            <w:pPr>
              <w:pStyle w:val="TableContents"/>
              <w:bidi w:val="0"/>
              <w:spacing w:before="0" w:after="283"/>
              <w:jc w:val="left"/>
              <w:rPr/>
            </w:pPr>
            <w:r>
              <w:rPr/>
              <w:t>3 years after closure of the last entry (</w:t>
            </w:r>
            <w:r>
              <w:rPr>
                <w:rStyle w:val="SourceText"/>
              </w:rPr>
              <w:t>SOP-01</w:t>
            </w:r>
            <w:r>
              <w:rPr/>
              <w:t xml:space="preserve"> §8)</w:t>
            </w:r>
          </w:p>
        </w:tc>
      </w:tr>
      <w:tr>
        <w:trPr/>
        <w:tc>
          <w:tcPr>
            <w:tcW w:w="1560" w:type="dxa"/>
            <w:tcBorders/>
            <w:vAlign w:val="center"/>
          </w:tcPr>
          <w:p>
            <w:pPr>
              <w:pStyle w:val="TableContents"/>
              <w:bidi w:val="0"/>
              <w:spacing w:before="0" w:after="283"/>
              <w:jc w:val="left"/>
              <w:rPr/>
            </w:pPr>
            <w:r>
              <w:rPr/>
              <w:t>Correction and its technical rationale</w:t>
            </w:r>
          </w:p>
        </w:tc>
        <w:tc>
          <w:tcPr>
            <w:tcW w:w="2156" w:type="dxa"/>
            <w:tcBorders/>
            <w:vAlign w:val="center"/>
          </w:tcPr>
          <w:p>
            <w:pPr>
              <w:pStyle w:val="TableContents"/>
              <w:bidi w:val="0"/>
              <w:spacing w:before="0" w:after="283"/>
              <w:jc w:val="left"/>
              <w:rPr/>
            </w:pPr>
            <w:r>
              <w:rPr/>
              <w:t>Git commit body (</w:t>
            </w:r>
            <w:r>
              <w:rPr>
                <w:rStyle w:val="SourceText"/>
              </w:rPr>
              <w:t>SOP-01</w:t>
            </w:r>
            <w:r>
              <w:rPr/>
              <w:t xml:space="preserve"> §3)</w:t>
            </w:r>
          </w:p>
        </w:tc>
        <w:tc>
          <w:tcPr>
            <w:tcW w:w="1177" w:type="dxa"/>
            <w:tcBorders/>
            <w:vAlign w:val="center"/>
          </w:tcPr>
          <w:p>
            <w:pPr>
              <w:pStyle w:val="TableContents"/>
              <w:bidi w:val="0"/>
              <w:spacing w:before="0" w:after="283"/>
              <w:jc w:val="left"/>
              <w:rPr/>
            </w:pPr>
            <w:r>
              <w:rPr/>
              <w:t xml:space="preserve">Per </w:t>
            </w:r>
            <w:r>
              <w:rPr>
                <w:rStyle w:val="SourceText"/>
              </w:rPr>
              <w:t>SOP-01</w:t>
            </w:r>
            <w:r>
              <w:rPr/>
              <w:t xml:space="preserve"> §8</w:t>
            </w:r>
          </w:p>
        </w:tc>
      </w:tr>
      <w:tr>
        <w:trPr/>
        <w:tc>
          <w:tcPr>
            <w:tcW w:w="1560" w:type="dxa"/>
            <w:tcBorders/>
            <w:vAlign w:val="center"/>
          </w:tcPr>
          <w:p>
            <w:pPr>
              <w:pStyle w:val="TableContents"/>
              <w:bidi w:val="0"/>
              <w:spacing w:before="0" w:after="283"/>
              <w:jc w:val="left"/>
              <w:rPr/>
            </w:pPr>
            <w:r>
              <w:rPr/>
              <w:t>Effectiveness verification evidence</w:t>
            </w:r>
          </w:p>
        </w:tc>
        <w:tc>
          <w:tcPr>
            <w:tcW w:w="2156" w:type="dxa"/>
            <w:tcBorders/>
            <w:vAlign w:val="center"/>
          </w:tcPr>
          <w:p>
            <w:pPr>
              <w:pStyle w:val="TableContents"/>
              <w:bidi w:val="0"/>
              <w:spacing w:before="0" w:after="283"/>
              <w:jc w:val="left"/>
              <w:rPr/>
            </w:pPr>
            <w:r>
              <w:rPr/>
              <w:t xml:space="preserve">Cited on </w:t>
            </w:r>
            <w:r>
              <w:rPr>
                <w:rStyle w:val="SourceText"/>
              </w:rPr>
              <w:t>FRM-05</w:t>
            </w:r>
            <w:r>
              <w:rPr/>
              <w:t xml:space="preserve"> by path, commit SHA or evaluation report filename (</w:t>
            </w:r>
            <w:r>
              <w:rPr>
                <w:rStyle w:val="SourceText"/>
              </w:rPr>
              <w:t>eval/reports/</w:t>
            </w:r>
            <w:r>
              <w:rPr/>
              <w:t>)</w:t>
            </w:r>
          </w:p>
        </w:tc>
        <w:tc>
          <w:tcPr>
            <w:tcW w:w="1177" w:type="dxa"/>
            <w:tcBorders/>
            <w:vAlign w:val="center"/>
          </w:tcPr>
          <w:p>
            <w:pPr>
              <w:pStyle w:val="TableContents"/>
              <w:bidi w:val="0"/>
              <w:spacing w:before="0" w:after="283"/>
              <w:jc w:val="left"/>
              <w:rPr/>
            </w:pPr>
            <w:r>
              <w:rPr/>
              <w:t>3 years after closure</w:t>
            </w:r>
          </w:p>
        </w:tc>
      </w:tr>
      <w:tr>
        <w:trPr/>
        <w:tc>
          <w:tcPr>
            <w:tcW w:w="1560" w:type="dxa"/>
            <w:tcBorders/>
            <w:vAlign w:val="center"/>
          </w:tcPr>
          <w:p>
            <w:pPr>
              <w:pStyle w:val="TableContents"/>
              <w:bidi w:val="0"/>
              <w:spacing w:before="0" w:after="283"/>
              <w:jc w:val="left"/>
              <w:rPr/>
            </w:pPr>
            <w:r>
              <w:rPr/>
              <w:t>Customer notification decision and date</w:t>
            </w:r>
          </w:p>
        </w:tc>
        <w:tc>
          <w:tcPr>
            <w:tcW w:w="2156" w:type="dxa"/>
            <w:tcBorders/>
            <w:vAlign w:val="center"/>
          </w:tcPr>
          <w:p>
            <w:pPr>
              <w:pStyle w:val="TableContents"/>
              <w:bidi w:val="0"/>
              <w:spacing w:before="0" w:after="283"/>
              <w:jc w:val="left"/>
              <w:rPr/>
            </w:pPr>
            <w:r>
              <w:rPr>
                <w:rStyle w:val="SourceText"/>
              </w:rPr>
              <w:t>FRM-05</w:t>
            </w:r>
            <w:r>
              <w:rPr/>
              <w:t xml:space="preserve">; the customer-facing record on </w:t>
            </w:r>
            <w:r>
              <w:rPr>
                <w:rStyle w:val="SourceText"/>
              </w:rPr>
              <w:t>forms/FRM-08_Customer_Feedback_and_Complaint_Record.md</w:t>
            </w:r>
          </w:p>
        </w:tc>
        <w:tc>
          <w:tcPr>
            <w:tcW w:w="1177" w:type="dxa"/>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560" w:type="dxa"/>
            <w:tcBorders/>
            <w:vAlign w:val="center"/>
          </w:tcPr>
          <w:p>
            <w:pPr>
              <w:pStyle w:val="TableContents"/>
              <w:bidi w:val="0"/>
              <w:spacing w:before="0" w:after="283"/>
              <w:jc w:val="left"/>
              <w:rPr/>
            </w:pPr>
            <w:r>
              <w:rPr/>
              <w:t>Risk register update arising from a nonconformity</w:t>
            </w:r>
          </w:p>
        </w:tc>
        <w:tc>
          <w:tcPr>
            <w:tcW w:w="2156" w:type="dxa"/>
            <w:tcBorders/>
            <w:vAlign w:val="center"/>
          </w:tcPr>
          <w:p>
            <w:pPr>
              <w:pStyle w:val="TableContents"/>
              <w:bidi w:val="0"/>
              <w:spacing w:before="0" w:after="283"/>
              <w:jc w:val="left"/>
              <w:rPr/>
            </w:pPr>
            <w:r>
              <w:rPr>
                <w:rStyle w:val="SourceText"/>
              </w:rPr>
              <w:t>registers/REG-03_Risk_Register.md</w:t>
            </w:r>
          </w:p>
        </w:tc>
        <w:tc>
          <w:tcPr>
            <w:tcW w:w="1177" w:type="dxa"/>
            <w:tcBorders/>
            <w:vAlign w:val="center"/>
          </w:tcPr>
          <w:p>
            <w:pPr>
              <w:pStyle w:val="TableContents"/>
              <w:bidi w:val="0"/>
              <w:spacing w:before="0" w:after="283"/>
              <w:jc w:val="left"/>
              <w:rPr/>
            </w:pPr>
            <w:r>
              <w:rPr/>
              <w:t>Life of the QMS + 3 years</w:t>
            </w:r>
          </w:p>
        </w:tc>
      </w:tr>
      <w:tr>
        <w:trPr/>
        <w:tc>
          <w:tcPr>
            <w:tcW w:w="1560" w:type="dxa"/>
            <w:tcBorders/>
            <w:vAlign w:val="center"/>
          </w:tcPr>
          <w:p>
            <w:pPr>
              <w:pStyle w:val="TableContents"/>
              <w:bidi w:val="0"/>
              <w:spacing w:before="0" w:after="283"/>
              <w:jc w:val="left"/>
              <w:rPr/>
            </w:pPr>
            <w:r>
              <w:rPr/>
              <w:t>Nonconforming output disposition and authorisation (8.7.2)</w:t>
            </w:r>
          </w:p>
        </w:tc>
        <w:tc>
          <w:tcPr>
            <w:tcW w:w="2156" w:type="dxa"/>
            <w:tcBorders/>
            <w:vAlign w:val="center"/>
          </w:tcPr>
          <w:p>
            <w:pPr>
              <w:pStyle w:val="TableContents"/>
              <w:bidi w:val="0"/>
              <w:spacing w:before="0" w:after="283"/>
              <w:jc w:val="left"/>
              <w:rPr/>
            </w:pPr>
            <w:r>
              <w:rPr>
                <w:rStyle w:val="SourceText"/>
              </w:rPr>
              <w:t>FRM-05</w:t>
            </w:r>
            <w:r>
              <w:rPr/>
              <w:t>, authorisation field</w:t>
            </w:r>
          </w:p>
        </w:tc>
        <w:tc>
          <w:tcPr>
            <w:tcW w:w="1177" w:type="dxa"/>
            <w:tcBorders/>
            <w:vAlign w:val="center"/>
          </w:tcPr>
          <w:p>
            <w:pPr>
              <w:pStyle w:val="TableContents"/>
              <w:bidi w:val="0"/>
              <w:spacing w:before="0" w:after="283"/>
              <w:jc w:val="left"/>
              <w:rPr/>
            </w:pPr>
            <w:r>
              <w:rPr/>
              <w:t>3 years after closure</w:t>
            </w:r>
          </w:p>
        </w:tc>
      </w:tr>
    </w:tbl>
    <w:p>
      <w:pPr>
        <w:pStyle w:val="Heading2"/>
        <w:bidi w:val="0"/>
        <w:jc w:val="left"/>
        <w:rPr/>
      </w:pPr>
      <w:r>
        <w:rPr/>
        <w:t>12. Current state and gaps</w:t>
      </w:r>
    </w:p>
    <w:p>
      <w:pPr>
        <w:pStyle w:val="BodyText"/>
        <w:bidi w:val="0"/>
        <w:jc w:val="left"/>
        <w:rPr/>
      </w:pPr>
      <w:r>
        <w:rPr>
          <w:rStyle w:val="Strong"/>
        </w:rPr>
        <w:t>Stated plainly: corrective action has been practised at Ajace AI and is genuinely evidenced — but it has never been tracked in a register with owners, due dates and effectiveness verification, until this QMS.</w:t>
      </w:r>
      <w:r>
        <w:rPr/>
        <w:t xml:space="preserve"> The practice is real and inspectable: 22 of 202 commits are </w:t>
      </w:r>
      <w:r>
        <w:rPr>
          <w:rStyle w:val="SourceText"/>
        </w:rPr>
        <w:t>fix:</w:t>
      </w:r>
      <w:r>
        <w:rPr/>
        <w:t xml:space="preserve"> commits; several commit bodies contain a full cycle of detection, containment, root cause, fix and post-fix verification (</w:t>
      </w:r>
      <w:r>
        <w:rPr>
          <w:rStyle w:val="SourceText"/>
        </w:rPr>
        <w:t>4e27109</w:t>
      </w:r>
      <w:r>
        <w:rPr/>
        <w:t xml:space="preserve">, </w:t>
      </w:r>
      <w:r>
        <w:rPr>
          <w:rStyle w:val="SourceText"/>
        </w:rPr>
        <w:t>558eaae</w:t>
      </w:r>
      <w:r>
        <w:rPr/>
        <w:t xml:space="preserve">, </w:t>
      </w:r>
      <w:r>
        <w:rPr>
          <w:rStyle w:val="SourceText"/>
        </w:rPr>
        <w:t>724fb98</w:t>
      </w:r>
      <w:r>
        <w:rPr/>
        <w:t xml:space="preserve">, </w:t>
      </w:r>
      <w:r>
        <w:rPr>
          <w:rStyle w:val="SourceText"/>
        </w:rPr>
        <w:t>ebd232f</w:t>
      </w:r>
      <w:r>
        <w:rPr/>
        <w:t xml:space="preserve">); and </w:t>
      </w:r>
      <w:r>
        <w:rPr>
          <w:rStyle w:val="SourceText"/>
        </w:rPr>
        <w:t>eval/paper/results/REGRESSION_AND_FIXES.json</w:t>
      </w:r>
      <w:r>
        <w:rPr/>
        <w:t xml:space="preserve"> is a structured record of baseline → regression → root cause → fixes → non-regression evidence. What was missing is the management layer: a single list, an owner per action, a date, and a deliberate, separately evidenced check that the action worked.</w:t>
      </w:r>
    </w:p>
    <w:tbl>
      <w:tblPr>
        <w:tblW w:w="4893" w:type="dxa"/>
        <w:jc w:val="left"/>
        <w:tblInd w:w="0" w:type="dxa"/>
        <w:tblLayout w:type="fixed"/>
        <w:tblCellMar>
          <w:top w:w="28" w:type="dxa"/>
          <w:left w:w="28" w:type="dxa"/>
          <w:bottom w:w="28" w:type="dxa"/>
          <w:right w:w="28" w:type="dxa"/>
        </w:tblCellMar>
      </w:tblPr>
      <w:tblGrid>
        <w:gridCol w:w="1246"/>
        <w:gridCol w:w="2056"/>
        <w:gridCol w:w="1591"/>
      </w:tblGrid>
      <w:tr>
        <w:trPr>
          <w:tblHeader w:val="true"/>
        </w:trPr>
        <w:tc>
          <w:tcPr>
            <w:tcW w:w="1246" w:type="dxa"/>
            <w:tcBorders/>
            <w:vAlign w:val="center"/>
          </w:tcPr>
          <w:p>
            <w:pPr>
              <w:pStyle w:val="TableHeading"/>
              <w:suppressLineNumbers/>
              <w:shd w:fill="1F3A5F" w:val="clear"/>
              <w:bidi w:val="0"/>
              <w:spacing w:before="0" w:after="283"/>
              <w:jc w:val="center"/>
              <w:rPr/>
            </w:pPr>
            <w:r>
              <w:rPr/>
              <w:t>Gap</w:t>
            </w:r>
          </w:p>
        </w:tc>
        <w:tc>
          <w:tcPr>
            <w:tcW w:w="2056" w:type="dxa"/>
            <w:tcBorders/>
            <w:vAlign w:val="center"/>
          </w:tcPr>
          <w:p>
            <w:pPr>
              <w:pStyle w:val="TableHeading"/>
              <w:suppressLineNumbers/>
              <w:shd w:fill="1F3A5F" w:val="clear"/>
              <w:bidi w:val="0"/>
              <w:spacing w:before="0" w:after="283"/>
              <w:jc w:val="center"/>
              <w:rPr/>
            </w:pPr>
            <w:r>
              <w:rPr/>
              <w:t>Current state</w:t>
            </w:r>
          </w:p>
        </w:tc>
        <w:tc>
          <w:tcPr>
            <w:tcW w:w="1591" w:type="dxa"/>
            <w:tcBorders/>
            <w:vAlign w:val="center"/>
          </w:tcPr>
          <w:p>
            <w:pPr>
              <w:pStyle w:val="TableHeading"/>
              <w:suppressLineNumbers/>
              <w:shd w:fill="1F3A5F" w:val="clear"/>
              <w:bidi w:val="0"/>
              <w:spacing w:before="0" w:after="283"/>
              <w:jc w:val="center"/>
              <w:rPr/>
            </w:pPr>
            <w:r>
              <w:rPr/>
              <w:t>Consequence</w:t>
            </w:r>
          </w:p>
        </w:tc>
      </w:tr>
      <w:tr>
        <w:trPr/>
        <w:tc>
          <w:tcPr>
            <w:tcW w:w="1246" w:type="dxa"/>
            <w:tcBorders/>
            <w:vAlign w:val="center"/>
          </w:tcPr>
          <w:p>
            <w:pPr>
              <w:pStyle w:val="TableContents"/>
              <w:bidi w:val="0"/>
              <w:spacing w:before="0" w:after="283"/>
              <w:jc w:val="left"/>
              <w:rPr/>
            </w:pPr>
            <w:r>
              <w:rPr/>
              <w:t>No nonconformity register before this QMS</w:t>
            </w:r>
          </w:p>
        </w:tc>
        <w:tc>
          <w:tcPr>
            <w:tcW w:w="2056" w:type="dxa"/>
            <w:tcBorders/>
            <w:vAlign w:val="center"/>
          </w:tcPr>
          <w:p>
            <w:pPr>
              <w:pStyle w:val="TableContents"/>
              <w:bidi w:val="0"/>
              <w:spacing w:before="0" w:after="283"/>
              <w:jc w:val="left"/>
              <w:rPr/>
            </w:pPr>
            <w:r>
              <w:rPr>
                <w:rStyle w:val="SourceText"/>
              </w:rPr>
              <w:t>registers/</w:t>
            </w:r>
            <w:r>
              <w:rPr/>
              <w:t xml:space="preserve"> held no CAPA log at the time of writing</w:t>
            </w:r>
          </w:p>
        </w:tc>
        <w:tc>
          <w:tcPr>
            <w:tcW w:w="1591" w:type="dxa"/>
            <w:tcBorders/>
            <w:vAlign w:val="center"/>
          </w:tcPr>
          <w:p>
            <w:pPr>
              <w:pStyle w:val="TableContents"/>
              <w:bidi w:val="0"/>
              <w:spacing w:before="0" w:after="283"/>
              <w:jc w:val="left"/>
              <w:rPr/>
            </w:pPr>
            <w:r>
              <w:rPr/>
              <w:t>Defects were fixed individually; trends across them were never analysed</w:t>
            </w:r>
          </w:p>
        </w:tc>
      </w:tr>
      <w:tr>
        <w:trPr/>
        <w:tc>
          <w:tcPr>
            <w:tcW w:w="1246" w:type="dxa"/>
            <w:tcBorders/>
            <w:vAlign w:val="center"/>
          </w:tcPr>
          <w:p>
            <w:pPr>
              <w:pStyle w:val="TableContents"/>
              <w:bidi w:val="0"/>
              <w:spacing w:before="0" w:after="283"/>
              <w:jc w:val="left"/>
              <w:rPr/>
            </w:pPr>
            <w:r>
              <w:rPr/>
              <w:t>No NC identifiers, owners or due dates</w:t>
            </w:r>
          </w:p>
        </w:tc>
        <w:tc>
          <w:tcPr>
            <w:tcW w:w="2056" w:type="dxa"/>
            <w:tcBorders/>
            <w:vAlign w:val="center"/>
          </w:tcPr>
          <w:p>
            <w:pPr>
              <w:pStyle w:val="TableContents"/>
              <w:bidi w:val="0"/>
              <w:spacing w:before="0" w:after="283"/>
              <w:jc w:val="left"/>
              <w:rPr/>
            </w:pPr>
            <w:r>
              <w:rPr/>
              <w:t>Evidence exists only as commit SHAs</w:t>
            </w:r>
          </w:p>
        </w:tc>
        <w:tc>
          <w:tcPr>
            <w:tcW w:w="1591" w:type="dxa"/>
            <w:tcBorders/>
            <w:vAlign w:val="center"/>
          </w:tcPr>
          <w:p>
            <w:pPr>
              <w:pStyle w:val="TableContents"/>
              <w:bidi w:val="0"/>
              <w:spacing w:before="0" w:after="283"/>
              <w:jc w:val="left"/>
              <w:rPr/>
            </w:pPr>
            <w:r>
              <w:rPr/>
              <w:t>No way to show an auditor an outstanding action, or that any action was ever overdue</w:t>
            </w:r>
          </w:p>
        </w:tc>
      </w:tr>
      <w:tr>
        <w:trPr/>
        <w:tc>
          <w:tcPr>
            <w:tcW w:w="1246" w:type="dxa"/>
            <w:tcBorders/>
            <w:vAlign w:val="center"/>
          </w:tcPr>
          <w:p>
            <w:pPr>
              <w:pStyle w:val="TableContents"/>
              <w:bidi w:val="0"/>
              <w:spacing w:before="0" w:after="283"/>
              <w:jc w:val="left"/>
              <w:rPr/>
            </w:pPr>
            <w:r>
              <w:rPr/>
              <w:t>Effectiveness verification is present in some commits and absent in others</w:t>
            </w:r>
          </w:p>
        </w:tc>
        <w:tc>
          <w:tcPr>
            <w:tcW w:w="2056" w:type="dxa"/>
            <w:tcBorders/>
            <w:vAlign w:val="center"/>
          </w:tcPr>
          <w:p>
            <w:pPr>
              <w:pStyle w:val="TableContents"/>
              <w:bidi w:val="0"/>
              <w:spacing w:before="0" w:after="283"/>
              <w:jc w:val="left"/>
              <w:rPr/>
            </w:pPr>
            <w:r>
              <w:rPr/>
              <w:t xml:space="preserve">Compare </w:t>
            </w:r>
            <w:r>
              <w:rPr>
                <w:rStyle w:val="SourceText"/>
              </w:rPr>
              <w:t>4e27109</w:t>
            </w:r>
            <w:r>
              <w:rPr/>
              <w:t xml:space="preserve"> (0/359 out-of-namespace, eval 49/52) with the general run of </w:t>
            </w:r>
            <w:r>
              <w:rPr>
                <w:rStyle w:val="SourceText"/>
              </w:rPr>
              <w:t>fix:</w:t>
            </w:r>
            <w:r>
              <w:rPr/>
              <w:t xml:space="preserve"> commits</w:t>
            </w:r>
          </w:p>
        </w:tc>
        <w:tc>
          <w:tcPr>
            <w:tcW w:w="1591" w:type="dxa"/>
            <w:tcBorders/>
            <w:vAlign w:val="center"/>
          </w:tcPr>
          <w:p>
            <w:pPr>
              <w:pStyle w:val="TableContents"/>
              <w:bidi w:val="0"/>
              <w:spacing w:before="0" w:after="283"/>
              <w:jc w:val="left"/>
              <w:rPr/>
            </w:pPr>
            <w:r>
              <w:rPr/>
              <w:t>Closure discipline is inconsistent because there was no closure step to be disciplined about</w:t>
            </w:r>
          </w:p>
        </w:tc>
      </w:tr>
      <w:tr>
        <w:trPr/>
        <w:tc>
          <w:tcPr>
            <w:tcW w:w="1246" w:type="dxa"/>
            <w:tcBorders/>
            <w:vAlign w:val="center"/>
          </w:tcPr>
          <w:p>
            <w:pPr>
              <w:pStyle w:val="TableContents"/>
              <w:bidi w:val="0"/>
              <w:spacing w:before="0" w:after="283"/>
              <w:jc w:val="left"/>
              <w:rPr/>
            </w:pPr>
            <w:r>
              <w:rPr/>
              <w:t>Implementer and verifier are the same person</w:t>
            </w:r>
          </w:p>
        </w:tc>
        <w:tc>
          <w:tcPr>
            <w:tcW w:w="2056" w:type="dxa"/>
            <w:tcBorders/>
            <w:vAlign w:val="center"/>
          </w:tcPr>
          <w:p>
            <w:pPr>
              <w:pStyle w:val="TableContents"/>
              <w:bidi w:val="0"/>
              <w:spacing w:before="0" w:after="283"/>
              <w:jc w:val="left"/>
              <w:rPr/>
            </w:pPr>
            <w:r>
              <w:rPr/>
              <w:t>One person in the organisation (</w:t>
            </w:r>
            <w:r>
              <w:rPr>
                <w:rStyle w:val="SourceText"/>
              </w:rPr>
              <w:t>SOP-02</w:t>
            </w:r>
            <w:r>
              <w:rPr/>
              <w:t xml:space="preserve"> §4)</w:t>
            </w:r>
          </w:p>
        </w:tc>
        <w:tc>
          <w:tcPr>
            <w:tcW w:w="1591" w:type="dxa"/>
            <w:tcBorders/>
            <w:vAlign w:val="center"/>
          </w:tcPr>
          <w:p>
            <w:pPr>
              <w:pStyle w:val="TableContents"/>
              <w:bidi w:val="0"/>
              <w:spacing w:before="0" w:after="283"/>
              <w:jc w:val="left"/>
              <w:rPr/>
            </w:pPr>
            <w:r>
              <w:rPr/>
              <w:t>Independent verification of effectiveness is not achievable internally; each record must state this</w:t>
            </w:r>
          </w:p>
        </w:tc>
      </w:tr>
      <w:tr>
        <w:trPr/>
        <w:tc>
          <w:tcPr>
            <w:tcW w:w="1246" w:type="dxa"/>
            <w:tcBorders/>
            <w:vAlign w:val="center"/>
          </w:tcPr>
          <w:p>
            <w:pPr>
              <w:pStyle w:val="TableContents"/>
              <w:bidi w:val="0"/>
              <w:spacing w:before="0" w:after="283"/>
              <w:jc w:val="left"/>
              <w:rPr/>
            </w:pPr>
            <w:r>
              <w:rPr/>
              <w:t>No customer complaints process has yet been exercised</w:t>
            </w:r>
          </w:p>
        </w:tc>
        <w:tc>
          <w:tcPr>
            <w:tcW w:w="2056" w:type="dxa"/>
            <w:tcBorders/>
            <w:vAlign w:val="center"/>
          </w:tcPr>
          <w:p>
            <w:pPr>
              <w:pStyle w:val="TableContents"/>
              <w:bidi w:val="0"/>
              <w:spacing w:before="0" w:after="283"/>
              <w:jc w:val="left"/>
              <w:rPr/>
            </w:pPr>
            <w:r>
              <w:rPr>
                <w:rStyle w:val="SourceText"/>
              </w:rPr>
              <w:t>SOP-08</w:t>
            </w:r>
            <w:r>
              <w:rPr/>
              <w:t xml:space="preserve"> and </w:t>
            </w:r>
            <w:r>
              <w:rPr>
                <w:rStyle w:val="SourceText"/>
              </w:rPr>
              <w:t>FRM-08</w:t>
            </w:r>
            <w:r>
              <w:rPr/>
              <w:t xml:space="preserve"> are drafted; no complaint has been received</w:t>
            </w:r>
          </w:p>
        </w:tc>
        <w:tc>
          <w:tcPr>
            <w:tcW w:w="1591" w:type="dxa"/>
            <w:tcBorders/>
            <w:vAlign w:val="center"/>
          </w:tcPr>
          <w:p>
            <w:pPr>
              <w:pStyle w:val="TableContents"/>
              <w:bidi w:val="0"/>
              <w:spacing w:before="0" w:after="283"/>
              <w:jc w:val="left"/>
              <w:rPr/>
            </w:pPr>
            <w:r>
              <w:rPr/>
              <w:t>The customer-sourced branch of §5 is untested</w:t>
            </w:r>
          </w:p>
        </w:tc>
      </w:tr>
      <w:tr>
        <w:trPr/>
        <w:tc>
          <w:tcPr>
            <w:tcW w:w="1246" w:type="dxa"/>
            <w:tcBorders/>
            <w:vAlign w:val="center"/>
          </w:tcPr>
          <w:p>
            <w:pPr>
              <w:pStyle w:val="TableContents"/>
              <w:bidi w:val="0"/>
              <w:spacing w:before="0" w:after="283"/>
              <w:jc w:val="left"/>
              <w:rPr/>
            </w:pPr>
            <w:r>
              <w:rPr/>
              <w:t>No CI, so test and evaluation failures are not automatically detected</w:t>
            </w:r>
          </w:p>
        </w:tc>
        <w:tc>
          <w:tcPr>
            <w:tcW w:w="2056" w:type="dxa"/>
            <w:tcBorders/>
            <w:vAlign w:val="center"/>
          </w:tcPr>
          <w:p>
            <w:pPr>
              <w:pStyle w:val="TableContents"/>
              <w:bidi w:val="0"/>
              <w:spacing w:before="0" w:after="283"/>
              <w:jc w:val="left"/>
              <w:rPr/>
            </w:pPr>
            <w:r>
              <w:rPr/>
              <w:t xml:space="preserve">No </w:t>
            </w:r>
            <w:r>
              <w:rPr>
                <w:rStyle w:val="SourceText"/>
              </w:rPr>
              <w:t>.github/</w:t>
            </w:r>
            <w:r>
              <w:rPr/>
              <w:t xml:space="preserve"> directory and no CI configuration in the repository</w:t>
            </w:r>
          </w:p>
        </w:tc>
        <w:tc>
          <w:tcPr>
            <w:tcW w:w="1591" w:type="dxa"/>
            <w:tcBorders/>
            <w:vAlign w:val="center"/>
          </w:tcPr>
          <w:p>
            <w:pPr>
              <w:pStyle w:val="TableContents"/>
              <w:bidi w:val="0"/>
              <w:spacing w:before="0" w:after="283"/>
              <w:jc w:val="left"/>
              <w:rPr/>
            </w:pPr>
            <w:r>
              <w:rPr/>
              <w:t xml:space="preserve">Detection depends on someone choosing to run </w:t>
            </w:r>
            <w:r>
              <w:rPr>
                <w:rStyle w:val="SourceText"/>
              </w:rPr>
              <w:t>eval/run_eval.py</w:t>
            </w:r>
            <w:r>
              <w:rPr/>
              <w:t xml:space="preserve"> and the test suites; a regression can sit undetected, exactly as recorded in </w:t>
            </w:r>
            <w:r>
              <w:rPr>
                <w:rStyle w:val="SourceText"/>
              </w:rPr>
              <w:t>eval/paper/results/REGRESSION_AND_FIXES.json</w:t>
            </w:r>
            <w:r>
              <w:rPr/>
              <w:t xml:space="preserve"> ("PRE-EXISTING and latent")</w:t>
            </w:r>
          </w:p>
        </w:tc>
      </w:tr>
      <w:tr>
        <w:trPr/>
        <w:tc>
          <w:tcPr>
            <w:tcW w:w="1246" w:type="dxa"/>
            <w:tcBorders/>
            <w:vAlign w:val="center"/>
          </w:tcPr>
          <w:p>
            <w:pPr>
              <w:pStyle w:val="TableContents"/>
              <w:bidi w:val="0"/>
              <w:spacing w:before="0" w:after="283"/>
              <w:jc w:val="left"/>
              <w:rPr/>
            </w:pPr>
            <w:r>
              <w:rPr/>
              <w:t>Container healthchecks cover 4 of 6 services</w:t>
            </w:r>
          </w:p>
        </w:tc>
        <w:tc>
          <w:tcPr>
            <w:tcW w:w="2056" w:type="dxa"/>
            <w:tcBorders/>
            <w:vAlign w:val="center"/>
          </w:tcPr>
          <w:p>
            <w:pPr>
              <w:pStyle w:val="TableContents"/>
              <w:bidi w:val="0"/>
              <w:spacing w:before="0" w:after="283"/>
              <w:jc w:val="left"/>
              <w:rPr/>
            </w:pPr>
            <w:r>
              <w:rPr>
                <w:rStyle w:val="SourceText"/>
              </w:rPr>
              <w:t>docker-compose.yml</w:t>
            </w:r>
          </w:p>
        </w:tc>
        <w:tc>
          <w:tcPr>
            <w:tcW w:w="1591" w:type="dxa"/>
            <w:tcBorders/>
            <w:vAlign w:val="center"/>
          </w:tcPr>
          <w:p>
            <w:pPr>
              <w:pStyle w:val="TableContents"/>
              <w:bidi w:val="0"/>
              <w:spacing w:before="0" w:after="283"/>
              <w:jc w:val="left"/>
              <w:rPr/>
            </w:pPr>
            <w:r>
              <w:rPr/>
              <w:t>Two services can fail without the failure being surfaced as a detection source under §5</w:t>
            </w:r>
          </w:p>
        </w:tc>
      </w:tr>
      <w:tr>
        <w:trPr/>
        <w:tc>
          <w:tcPr>
            <w:tcW w:w="1246" w:type="dxa"/>
            <w:tcBorders/>
            <w:vAlign w:val="center"/>
          </w:tcPr>
          <w:p>
            <w:pPr>
              <w:pStyle w:val="TableContents"/>
              <w:bidi w:val="0"/>
              <w:spacing w:before="0" w:after="283"/>
              <w:jc w:val="left"/>
              <w:rPr/>
            </w:pPr>
            <w:r>
              <w:rPr/>
              <w:t>No release versioning to attach a nonconformity to</w:t>
            </w:r>
          </w:p>
        </w:tc>
        <w:tc>
          <w:tcPr>
            <w:tcW w:w="2056" w:type="dxa"/>
            <w:tcBorders/>
            <w:vAlign w:val="center"/>
          </w:tcPr>
          <w:p>
            <w:pPr>
              <w:pStyle w:val="TableContents"/>
              <w:bidi w:val="0"/>
              <w:spacing w:before="0" w:after="283"/>
              <w:jc w:val="left"/>
              <w:rPr/>
            </w:pPr>
            <w:r>
              <w:rPr/>
              <w:t xml:space="preserve">No git tags, no CHANGELOG; </w:t>
            </w:r>
            <w:r>
              <w:rPr>
                <w:rStyle w:val="SourceText"/>
              </w:rPr>
              <w:t>frontend/package.json</w:t>
            </w:r>
            <w:r>
              <w:rPr/>
              <w:t xml:space="preserve"> is </w:t>
            </w:r>
            <w:r>
              <w:rPr>
                <w:rStyle w:val="SourceText"/>
              </w:rPr>
              <w:t>"0.0.0"</w:t>
            </w:r>
          </w:p>
        </w:tc>
        <w:tc>
          <w:tcPr>
            <w:tcW w:w="1591" w:type="dxa"/>
            <w:tcBorders/>
            <w:vAlign w:val="center"/>
          </w:tcPr>
          <w:p>
            <w:pPr>
              <w:pStyle w:val="TableContents"/>
              <w:bidi w:val="0"/>
              <w:spacing w:before="0" w:after="283"/>
              <w:jc w:val="left"/>
              <w:rPr/>
            </w:pPr>
            <w:r>
              <w:rPr/>
              <w:t xml:space="preserve">The </w:t>
            </w:r>
            <w:r>
              <w:rPr>
                <w:rStyle w:val="Emphasis"/>
              </w:rPr>
              <w:t>affected releases</w:t>
            </w:r>
            <w:r>
              <w:rPr/>
              <w:t xml:space="preserve"> field on </w:t>
            </w:r>
            <w:r>
              <w:rPr>
                <w:rStyle w:val="SourceText"/>
              </w:rPr>
              <w:t>FRM-05</w:t>
            </w:r>
            <w:r>
              <w:rPr/>
              <w:t xml:space="preserve"> cannot currently be completed precisely; it must reference a commit SHA instead</w:t>
            </w:r>
          </w:p>
        </w:tc>
      </w:tr>
      <w:tr>
        <w:trPr/>
        <w:tc>
          <w:tcPr>
            <w:tcW w:w="1246" w:type="dxa"/>
            <w:tcBorders/>
            <w:vAlign w:val="center"/>
          </w:tcPr>
          <w:p>
            <w:pPr>
              <w:pStyle w:val="TableContents"/>
              <w:bidi w:val="0"/>
              <w:spacing w:before="0" w:after="283"/>
              <w:jc w:val="left"/>
              <w:rPr/>
            </w:pPr>
            <w:r>
              <w:rPr/>
              <w:t>The QMS's own known nonconformity — auditor impartiality</w:t>
            </w:r>
          </w:p>
        </w:tc>
        <w:tc>
          <w:tcPr>
            <w:tcW w:w="2056" w:type="dxa"/>
            <w:tcBorders/>
            <w:vAlign w:val="center"/>
          </w:tcPr>
          <w:p>
            <w:pPr>
              <w:pStyle w:val="TableContents"/>
              <w:bidi w:val="0"/>
              <w:spacing w:before="0" w:after="283"/>
              <w:jc w:val="left"/>
              <w:rPr/>
            </w:pPr>
            <w:r>
              <w:rPr>
                <w:rStyle w:val="SourceText"/>
              </w:rPr>
              <w:t>SOP-13</w:t>
            </w:r>
            <w:r>
              <w:rPr/>
              <w:t xml:space="preserve"> §5 and §12</w:t>
            </w:r>
          </w:p>
        </w:tc>
        <w:tc>
          <w:tcPr>
            <w:tcW w:w="1591" w:type="dxa"/>
            <w:tcBorders/>
            <w:vAlign w:val="center"/>
          </w:tcPr>
          <w:p>
            <w:pPr>
              <w:pStyle w:val="TableContents"/>
              <w:bidi w:val="0"/>
              <w:spacing w:before="0" w:after="283"/>
              <w:jc w:val="left"/>
              <w:rPr/>
            </w:pPr>
            <w:r>
              <w:rPr/>
              <w:t xml:space="preserve">Must be raised as </w:t>
            </w:r>
            <w:r>
              <w:rPr>
                <w:rStyle w:val="SourceText"/>
              </w:rPr>
              <w:t>NC-____-___</w:t>
            </w:r>
            <w:r>
              <w:rPr/>
              <w:t xml:space="preserve"> in </w:t>
            </w:r>
            <w:r>
              <w:rPr>
                <w:rStyle w:val="SourceText"/>
              </w:rPr>
              <w:t>REG-04</w:t>
            </w:r>
            <w:r>
              <w:rPr/>
              <w:t xml:space="preserve"> on adoption and remain open until resolved</w:t>
            </w:r>
          </w:p>
        </w:tc>
      </w:tr>
    </w:tbl>
    <w:p>
      <w:pPr>
        <w:pStyle w:val="BodyText"/>
        <w:bidi w:val="0"/>
        <w:spacing w:before="0" w:after="283"/>
        <w:jc w:val="left"/>
        <w:rPr/>
      </w:pPr>
      <w:r>
        <w:rPr/>
        <w:t xml:space="preserve">Each gap above is carried into </w:t>
      </w:r>
      <w:r>
        <w:rPr>
          <w:rStyle w:val="SourceText"/>
        </w:rPr>
        <w:t>ISO9001_Gap_Analysis.md</w:t>
      </w:r>
      <w:r>
        <w:rPr/>
        <w:t xml:space="preserve"> and, where it is a risk rather than only a gap, into </w:t>
      </w:r>
      <w:r>
        <w:rPr>
          <w:rStyle w:val="SourceText"/>
        </w:rPr>
        <w:t>registers/REG-03_Risk_Register.md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