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Regression Testing on Defects – REG-2026-01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 Testing on Defects – REG-2026-01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corrected defect (NC-2026-010) stays fixed and that no new failures appear.</w:t>
      </w:r>
    </w:p>
    <w:p>
      <w:pPr>
        <w:pStyle w:val="Heading1"/>
      </w:pPr>
      <w:r>
        <w:t xml:space="preserve">Execution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200"/>
        <w:gridCol w:w="23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 (2026-10-06)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Evidence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 passed in 0.57s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127 passed in 0.19s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3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SCR-17; Execution_Records/*_pytest.txt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Result</w:t>
      </w:r>
    </w:p>
    <w:p>
      <w:pPr>
        <w:spacing w:after="100"/>
      </w:pPr>
      <w:r>
        <w:rPr>
          <w:b/>
          <w:bCs/>
        </w:rPr>
        <w:t xml:space="preserve">Passed.</w:t>
      </w:r>
      <w:r>
        <w:t xml:space="preserve"> Previously failing tests now pass; no regressions in the automated suites. API-level testing on the same day found four new defects outside these suites (QA-FAIL-2026-02…05), which is itself a lesson: the unit suites do not cover API behaviour (LL-2026-12).</w:t>
      </w:r>
    </w:p>
    <w:p>
      <w:pPr>
        <w:spacing w:before="120"/>
        <w:jc w:val="center"/>
      </w:pPr>
      <w:r>
        <w:drawing>
          <wp:inline distT="0" distB="0" distL="0" distR="0">
            <wp:extent cx="5905500" cy="18192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SCR-17 — regression suite output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REG-2026-01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dd6bd6ae56f156f64d6437c27d26a7026058a8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on Defects – REG-2026-01</dc:title>
  <dc:creator>Ajace Inc. — EchoMind QMS</dc:creator>
  <cp:lastModifiedBy>Un-named</cp:lastModifiedBy>
  <cp:revision>1</cp:revision>
  <dcterms:created xsi:type="dcterms:W3CDTF">2026-10-06T21:46:31.263Z</dcterms:created>
  <dcterms:modified xsi:type="dcterms:W3CDTF">2026-10-06T21:46:31.263Z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