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SOP-02 — Context, Interested Parties and Risk</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SOP-02</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1.2</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4.1, 4.2, 6.1, 6.3</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how Ajace AI determines the issues and interested parties relevant to the quality management system (QMS), how it identifies, assesses, treats and reviews the resulting risks and opportunities, and how it plans changes to the QMS and to the product.</w:t>
      </w:r>
    </w:p>
    <w:p>
      <w:pPr>
        <w:pStyle w:val="Heading2"/>
        <w:bidi w:val="0"/>
        <w:jc w:val="left"/>
        <w:rPr/>
      </w:pPr>
      <w:r>
        <w:rPr/>
        <w:t>2. Scope</w:t>
      </w:r>
    </w:p>
    <w:p>
      <w:pPr>
        <w:pStyle w:val="BodyText"/>
        <w:bidi w:val="0"/>
        <w:jc w:val="left"/>
        <w:rPr/>
      </w:pPr>
      <w:r>
        <w:rPr/>
        <w:t>The whole QMS and the whole of the EchoMind Enterprise platform: the software in this repository, the deployment pattern it is shipped under, and the customisation and advisory services Ajace AI delivers around it. It does not cover the risk management that a customer performs on its own infrastructure and its own data; where the two meet, the boundary is stated in §5 of this procedure.</w:t>
      </w:r>
    </w:p>
    <w:p>
      <w:pPr>
        <w:pStyle w:val="Heading2"/>
        <w:bidi w:val="0"/>
        <w:jc w:val="left"/>
        <w:rPr/>
      </w:pPr>
      <w:r>
        <w:rPr/>
        <w:t>3. Responsibilities</w:t>
      </w:r>
    </w:p>
    <w:tbl>
      <w:tblPr>
        <w:tblW w:w="5148" w:type="dxa"/>
        <w:jc w:val="left"/>
        <w:tblInd w:w="0" w:type="dxa"/>
        <w:tblLayout w:type="fixed"/>
        <w:tblCellMar>
          <w:top w:w="28" w:type="dxa"/>
          <w:left w:w="28" w:type="dxa"/>
          <w:bottom w:w="28" w:type="dxa"/>
          <w:right w:w="28" w:type="dxa"/>
        </w:tblCellMar>
      </w:tblPr>
      <w:tblGrid>
        <w:gridCol w:w="1234"/>
        <w:gridCol w:w="3914"/>
      </w:tblGrid>
      <w:tr>
        <w:trPr>
          <w:tblHeader w:val="true"/>
        </w:trPr>
        <w:tc>
          <w:tcPr>
            <w:tcW w:w="1234" w:type="dxa"/>
            <w:tcBorders/>
            <w:vAlign w:val="center"/>
          </w:tcPr>
          <w:p>
            <w:pPr>
              <w:pStyle w:val="TableHeading"/>
              <w:suppressLineNumbers/>
              <w:shd w:fill="1F3A5F" w:val="clear"/>
              <w:bidi w:val="0"/>
              <w:spacing w:before="0" w:after="283"/>
              <w:jc w:val="center"/>
              <w:rPr/>
            </w:pPr>
            <w:r>
              <w:rPr/>
              <w:t>Role</w:t>
            </w:r>
          </w:p>
        </w:tc>
        <w:tc>
          <w:tcPr>
            <w:tcW w:w="3914" w:type="dxa"/>
            <w:tcBorders/>
            <w:vAlign w:val="center"/>
          </w:tcPr>
          <w:p>
            <w:pPr>
              <w:pStyle w:val="TableHeading"/>
              <w:suppressLineNumbers/>
              <w:shd w:fill="1F3A5F" w:val="clear"/>
              <w:bidi w:val="0"/>
              <w:spacing w:before="0" w:after="283"/>
              <w:jc w:val="center"/>
              <w:rPr/>
            </w:pPr>
            <w:r>
              <w:rPr/>
              <w:t>Responsibility</w:t>
            </w:r>
          </w:p>
        </w:tc>
      </w:tr>
      <w:tr>
        <w:trPr/>
        <w:tc>
          <w:tcPr>
            <w:tcW w:w="1234" w:type="dxa"/>
            <w:tcBorders/>
            <w:vAlign w:val="center"/>
          </w:tcPr>
          <w:p>
            <w:pPr>
              <w:pStyle w:val="TableContents"/>
              <w:bidi w:val="0"/>
              <w:spacing w:before="0" w:after="283"/>
              <w:jc w:val="left"/>
              <w:rPr/>
            </w:pPr>
            <w:r>
              <w:rPr/>
              <w:t>Managing Director</w:t>
            </w:r>
          </w:p>
        </w:tc>
        <w:tc>
          <w:tcPr>
            <w:tcW w:w="3914" w:type="dxa"/>
            <w:tcBorders/>
            <w:vAlign w:val="center"/>
          </w:tcPr>
          <w:p>
            <w:pPr>
              <w:pStyle w:val="TableContents"/>
              <w:bidi w:val="0"/>
              <w:spacing w:before="0" w:after="283"/>
              <w:jc w:val="left"/>
              <w:rPr/>
            </w:pPr>
            <w:r>
              <w:rPr/>
              <w:t>Owns this procedure. Determines context and interested parties. Accepts or rejects residual risk. Approves the risk register at each management review.</w:t>
            </w:r>
          </w:p>
        </w:tc>
      </w:tr>
      <w:tr>
        <w:trPr/>
        <w:tc>
          <w:tcPr>
            <w:tcW w:w="1234" w:type="dxa"/>
            <w:tcBorders/>
            <w:vAlign w:val="center"/>
          </w:tcPr>
          <w:p>
            <w:pPr>
              <w:pStyle w:val="TableContents"/>
              <w:bidi w:val="0"/>
              <w:spacing w:before="0" w:after="283"/>
              <w:jc w:val="left"/>
              <w:rPr/>
            </w:pPr>
            <w:r>
              <w:rPr/>
              <w:t>Lead Engineer</w:t>
            </w:r>
          </w:p>
        </w:tc>
        <w:tc>
          <w:tcPr>
            <w:tcW w:w="3914" w:type="dxa"/>
            <w:tcBorders/>
            <w:vAlign w:val="center"/>
          </w:tcPr>
          <w:p>
            <w:pPr>
              <w:pStyle w:val="TableContents"/>
              <w:bidi w:val="0"/>
              <w:spacing w:before="0" w:after="283"/>
              <w:jc w:val="left"/>
              <w:rPr/>
            </w:pPr>
            <w:r>
              <w:rPr/>
              <w:t>Identifies technical risks arising from the architecture, the dependency chain and the deployment model. Proposes and implements treatments. Records verification of a treatment in the commit that applies it.</w:t>
            </w:r>
          </w:p>
        </w:tc>
      </w:tr>
      <w:tr>
        <w:trPr/>
        <w:tc>
          <w:tcPr>
            <w:tcW w:w="1234" w:type="dxa"/>
            <w:tcBorders/>
            <w:vAlign w:val="center"/>
          </w:tcPr>
          <w:p>
            <w:pPr>
              <w:pStyle w:val="TableContents"/>
              <w:bidi w:val="0"/>
              <w:spacing w:before="0" w:after="283"/>
              <w:jc w:val="left"/>
              <w:rPr/>
            </w:pPr>
            <w:r>
              <w:rPr/>
              <w:t>Anyone contributing code</w:t>
            </w:r>
          </w:p>
        </w:tc>
        <w:tc>
          <w:tcPr>
            <w:tcW w:w="3914" w:type="dxa"/>
            <w:tcBorders/>
            <w:vAlign w:val="center"/>
          </w:tcPr>
          <w:p>
            <w:pPr>
              <w:pStyle w:val="TableContents"/>
              <w:bidi w:val="0"/>
              <w:spacing w:before="0" w:after="283"/>
              <w:jc w:val="left"/>
              <w:rPr/>
            </w:pPr>
            <w:r>
              <w:rPr/>
              <w:t>Raises a risk as soon as it is recognised, including risks found while fixing something else.</w:t>
            </w:r>
          </w:p>
        </w:tc>
      </w:tr>
    </w:tbl>
    <w:p>
      <w:pPr>
        <w:pStyle w:val="BodyText"/>
        <w:bidi w:val="0"/>
        <w:jc w:val="left"/>
        <w:rPr/>
      </w:pPr>
      <w:r>
        <w:rPr/>
        <w:t xml:space="preserve">Ajace AI currently has one person, who holds all three roles. This is itself a recorded risk (§6 and </w:t>
      </w:r>
      <w:r>
        <w:rPr>
          <w:rStyle w:val="SourceText"/>
        </w:rPr>
        <w:t>registers/REG-03_Risk_Register.md</w:t>
      </w:r>
      <w:r>
        <w:rPr/>
        <w:t>).</w:t>
      </w:r>
    </w:p>
    <w:p>
      <w:pPr>
        <w:pStyle w:val="Heading2"/>
        <w:bidi w:val="0"/>
        <w:jc w:val="left"/>
        <w:rPr/>
      </w:pPr>
      <w:r>
        <w:rPr/>
        <w:t>4. Determining the context of the organisation (4.1)</w:t>
      </w:r>
    </w:p>
    <w:p>
      <w:pPr>
        <w:pStyle w:val="BodyText"/>
        <w:bidi w:val="0"/>
        <w:jc w:val="left"/>
        <w:rPr/>
      </w:pPr>
      <w:r>
        <w:rPr/>
        <w:t xml:space="preserve">The Managing Director determines the external and internal issues relevant to Ajace AI's purpose and to its ability to achieve the intended results of the QMS. The determination is reviewed at each management review under </w:t>
      </w:r>
      <w:r>
        <w:rPr>
          <w:rStyle w:val="SourceText"/>
        </w:rPr>
        <w:t>SOP-15</w:t>
      </w:r>
      <w:r>
        <w:rPr/>
        <w:t>, and immediately on any material change — a new regulated sector, a change of hardware platform, a change in the legal treatment of AI systems, or the addition of a second person to the organisation.</w:t>
      </w:r>
    </w:p>
    <w:p>
      <w:pPr>
        <w:pStyle w:val="BodyText"/>
        <w:bidi w:val="0"/>
        <w:jc w:val="left"/>
        <w:rPr/>
      </w:pPr>
      <w:r>
        <w:rPr>
          <w:rStyle w:val="Strong"/>
        </w:rPr>
        <w:t>External issues currently determined:</w:t>
      </w:r>
    </w:p>
    <w:tbl>
      <w:tblPr>
        <w:tblW w:w="5148" w:type="dxa"/>
        <w:jc w:val="left"/>
        <w:tblInd w:w="0" w:type="dxa"/>
        <w:tblLayout w:type="fixed"/>
        <w:tblCellMar>
          <w:top w:w="28" w:type="dxa"/>
          <w:left w:w="28" w:type="dxa"/>
          <w:bottom w:w="28" w:type="dxa"/>
          <w:right w:w="28" w:type="dxa"/>
        </w:tblCellMar>
      </w:tblPr>
      <w:tblGrid>
        <w:gridCol w:w="1589"/>
        <w:gridCol w:w="3559"/>
      </w:tblGrid>
      <w:tr>
        <w:trPr>
          <w:tblHeader w:val="true"/>
        </w:trPr>
        <w:tc>
          <w:tcPr>
            <w:tcW w:w="1589" w:type="dxa"/>
            <w:tcBorders/>
            <w:vAlign w:val="center"/>
          </w:tcPr>
          <w:p>
            <w:pPr>
              <w:pStyle w:val="TableHeading"/>
              <w:suppressLineNumbers/>
              <w:shd w:fill="1F3A5F" w:val="clear"/>
              <w:bidi w:val="0"/>
              <w:spacing w:before="0" w:after="283"/>
              <w:jc w:val="center"/>
              <w:rPr/>
            </w:pPr>
            <w:r>
              <w:rPr/>
              <w:t>Issue</w:t>
            </w:r>
          </w:p>
        </w:tc>
        <w:tc>
          <w:tcPr>
            <w:tcW w:w="3559" w:type="dxa"/>
            <w:tcBorders/>
            <w:vAlign w:val="center"/>
          </w:tcPr>
          <w:p>
            <w:pPr>
              <w:pStyle w:val="TableHeading"/>
              <w:suppressLineNumbers/>
              <w:shd w:fill="1F3A5F" w:val="clear"/>
              <w:bidi w:val="0"/>
              <w:spacing w:before="0" w:after="283"/>
              <w:jc w:val="center"/>
              <w:rPr/>
            </w:pPr>
            <w:r>
              <w:rPr/>
              <w:t>Why it matters to quality</w:t>
            </w:r>
          </w:p>
        </w:tc>
      </w:tr>
      <w:tr>
        <w:trPr/>
        <w:tc>
          <w:tcPr>
            <w:tcW w:w="1589" w:type="dxa"/>
            <w:tcBorders/>
            <w:vAlign w:val="center"/>
          </w:tcPr>
          <w:p>
            <w:pPr>
              <w:pStyle w:val="TableContents"/>
              <w:bidi w:val="0"/>
              <w:spacing w:before="0" w:after="283"/>
              <w:jc w:val="left"/>
              <w:rPr/>
            </w:pPr>
            <w:r>
              <w:rPr/>
              <w:t>Customers are in regulated sectors — defence, government, legal, finance, healthcare</w:t>
            </w:r>
          </w:p>
        </w:tc>
        <w:tc>
          <w:tcPr>
            <w:tcW w:w="3559" w:type="dxa"/>
            <w:tcBorders/>
            <w:vAlign w:val="center"/>
          </w:tcPr>
          <w:p>
            <w:pPr>
              <w:pStyle w:val="TableContents"/>
              <w:bidi w:val="0"/>
              <w:spacing w:before="0" w:after="283"/>
              <w:jc w:val="left"/>
              <w:rPr/>
            </w:pPr>
            <w:r>
              <w:rPr/>
              <w:t>Their own regulators constrain what they may deploy and where data may reside. A defect in tenant isolation or in grounding is a compliance event for the customer, not only a bug for us.</w:t>
            </w:r>
          </w:p>
        </w:tc>
      </w:tr>
      <w:tr>
        <w:trPr/>
        <w:tc>
          <w:tcPr>
            <w:tcW w:w="1589" w:type="dxa"/>
            <w:tcBorders/>
            <w:vAlign w:val="center"/>
          </w:tcPr>
          <w:p>
            <w:pPr>
              <w:pStyle w:val="TableContents"/>
              <w:bidi w:val="0"/>
              <w:spacing w:before="0" w:after="283"/>
              <w:jc w:val="left"/>
              <w:rPr/>
            </w:pPr>
            <w:r>
              <w:rPr/>
              <w:t>Data sovereignty is the reason the product exists</w:t>
            </w:r>
          </w:p>
        </w:tc>
        <w:tc>
          <w:tcPr>
            <w:tcW w:w="3559" w:type="dxa"/>
            <w:tcBorders/>
            <w:vAlign w:val="center"/>
          </w:tcPr>
          <w:p>
            <w:pPr>
              <w:pStyle w:val="TableContents"/>
              <w:bidi w:val="0"/>
              <w:spacing w:before="0" w:after="283"/>
              <w:jc w:val="left"/>
              <w:rPr/>
            </w:pPr>
            <w:r>
              <w:rPr/>
              <w:t>The platform is built to run fully offline on customer-controlled hardware. Any design decision that reintroduces an outbound dependency undermines the core value proposition.</w:t>
            </w:r>
          </w:p>
        </w:tc>
      </w:tr>
      <w:tr>
        <w:trPr/>
        <w:tc>
          <w:tcPr>
            <w:tcW w:w="1589" w:type="dxa"/>
            <w:tcBorders/>
            <w:vAlign w:val="center"/>
          </w:tcPr>
          <w:p>
            <w:pPr>
              <w:pStyle w:val="TableContents"/>
              <w:bidi w:val="0"/>
              <w:spacing w:before="0" w:after="283"/>
              <w:jc w:val="left"/>
              <w:rPr/>
            </w:pPr>
            <w:r>
              <w:rPr/>
              <w:t>The AI model supply chain moves quickly and without stability guarantees</w:t>
            </w:r>
          </w:p>
        </w:tc>
        <w:tc>
          <w:tcPr>
            <w:tcW w:w="3559" w:type="dxa"/>
            <w:tcBorders/>
            <w:vAlign w:val="center"/>
          </w:tcPr>
          <w:p>
            <w:pPr>
              <w:pStyle w:val="TableContents"/>
              <w:bidi w:val="0"/>
              <w:spacing w:before="0" w:after="283"/>
              <w:jc w:val="left"/>
              <w:rPr/>
            </w:pPr>
            <w:r>
              <w:rPr/>
              <w:t xml:space="preserve">Weights, inference runtimes and ASR toolkits change under us. </w:t>
            </w:r>
            <w:r>
              <w:rPr>
                <w:rStyle w:val="SourceText"/>
              </w:rPr>
              <w:t>backend/Dockerfile:19</w:t>
            </w:r>
            <w:r>
              <w:rPr/>
              <w:t xml:space="preserve"> installs </w:t>
            </w:r>
            <w:r>
              <w:rPr>
                <w:rStyle w:val="SourceText"/>
              </w:rPr>
              <w:t>nemo_toolkit[asr]</w:t>
            </w:r>
            <w:r>
              <w:rPr/>
              <w:t xml:space="preserve"> from </w:t>
            </w:r>
            <w:r>
              <w:rPr>
                <w:rStyle w:val="SourceText"/>
              </w:rPr>
              <w:t>git+https://github.com/NVIDIA/NeMo.git@main</w:t>
            </w:r>
            <w:r>
              <w:rPr/>
              <w:t xml:space="preserve"> — a moving branch, not a release.</w:t>
            </w:r>
          </w:p>
        </w:tc>
      </w:tr>
      <w:tr>
        <w:trPr/>
        <w:tc>
          <w:tcPr>
            <w:tcW w:w="1589" w:type="dxa"/>
            <w:tcBorders/>
            <w:vAlign w:val="center"/>
          </w:tcPr>
          <w:p>
            <w:pPr>
              <w:pStyle w:val="TableContents"/>
              <w:bidi w:val="0"/>
              <w:spacing w:before="0" w:after="283"/>
              <w:jc w:val="left"/>
              <w:rPr/>
            </w:pPr>
            <w:r>
              <w:rPr/>
              <w:t>Hardware platform maturity</w:t>
            </w:r>
          </w:p>
        </w:tc>
        <w:tc>
          <w:tcPr>
            <w:tcW w:w="3559" w:type="dxa"/>
            <w:tcBorders/>
            <w:vAlign w:val="center"/>
          </w:tcPr>
          <w:p>
            <w:pPr>
              <w:pStyle w:val="TableContents"/>
              <w:bidi w:val="0"/>
              <w:spacing w:before="0" w:after="283"/>
              <w:jc w:val="left"/>
              <w:rPr/>
            </w:pPr>
            <w:r>
              <w:rPr/>
              <w:t xml:space="preserve">The reference platform is NVIDIA DGX Spark (GB10). Driver- and kernel-level defects have directly broken the stack; the rationale and the verification are recorded inline at </w:t>
            </w:r>
            <w:r>
              <w:rPr>
                <w:rStyle w:val="SourceText"/>
              </w:rPr>
              <w:t>docker-compose.yml:7-11</w:t>
            </w:r>
            <w:r>
              <w:rPr/>
              <w:t xml:space="preserve"> and </w:t>
            </w:r>
            <w:r>
              <w:rPr>
                <w:rStyle w:val="SourceText"/>
              </w:rPr>
              <w:t>docker-compose.yml:41-44</w:t>
            </w:r>
            <w:r>
              <w:rPr/>
              <w:t>.</w:t>
            </w:r>
          </w:p>
        </w:tc>
      </w:tr>
      <w:tr>
        <w:trPr/>
        <w:tc>
          <w:tcPr>
            <w:tcW w:w="1589" w:type="dxa"/>
            <w:tcBorders/>
            <w:vAlign w:val="center"/>
          </w:tcPr>
          <w:p>
            <w:pPr>
              <w:pStyle w:val="TableContents"/>
              <w:bidi w:val="0"/>
              <w:spacing w:before="0" w:after="283"/>
              <w:jc w:val="left"/>
              <w:rPr/>
            </w:pPr>
            <w:r>
              <w:rPr/>
              <w:t>Ajace AI does not sell hardware</w:t>
            </w:r>
          </w:p>
        </w:tc>
        <w:tc>
          <w:tcPr>
            <w:tcW w:w="3559" w:type="dxa"/>
            <w:tcBorders/>
            <w:vAlign w:val="center"/>
          </w:tcPr>
          <w:p>
            <w:pPr>
              <w:pStyle w:val="TableContents"/>
              <w:bidi w:val="0"/>
              <w:spacing w:before="0" w:after="283"/>
              <w:jc w:val="left"/>
              <w:rPr/>
            </w:pPr>
            <w:r>
              <w:rPr/>
              <w:t>We advise on hardware and cloud fit by security posture. We depend on the customer procuring suitable hardware, and on our advice being sound.</w:t>
            </w:r>
          </w:p>
        </w:tc>
      </w:tr>
      <w:tr>
        <w:trPr/>
        <w:tc>
          <w:tcPr>
            <w:tcW w:w="1589" w:type="dxa"/>
            <w:tcBorders/>
            <w:vAlign w:val="center"/>
          </w:tcPr>
          <w:p>
            <w:pPr>
              <w:pStyle w:val="TableContents"/>
              <w:bidi w:val="0"/>
              <w:spacing w:before="0" w:after="283"/>
              <w:jc w:val="left"/>
              <w:rPr/>
            </w:pPr>
            <w:r>
              <w:rPr/>
              <w:t>Emerging AI-specific regulation and customer assurance expectations</w:t>
            </w:r>
          </w:p>
        </w:tc>
        <w:tc>
          <w:tcPr>
            <w:tcW w:w="3559" w:type="dxa"/>
            <w:tcBorders/>
            <w:vAlign w:val="center"/>
          </w:tcPr>
          <w:p>
            <w:pPr>
              <w:pStyle w:val="TableContents"/>
              <w:bidi w:val="0"/>
              <w:spacing w:before="0" w:after="283"/>
              <w:jc w:val="left"/>
              <w:rPr/>
            </w:pPr>
            <w:r>
              <w:rPr/>
              <w:t>Customers increasingly ask for a management system, not only a product. This QMS is the response.</w:t>
            </w:r>
          </w:p>
        </w:tc>
      </w:tr>
    </w:tbl>
    <w:p>
      <w:pPr>
        <w:pStyle w:val="BodyText"/>
        <w:bidi w:val="0"/>
        <w:jc w:val="left"/>
        <w:rPr/>
      </w:pPr>
      <w:r>
        <w:rPr>
          <w:rStyle w:val="Strong"/>
        </w:rPr>
        <w:t>Internal issues currently determined:</w:t>
      </w:r>
    </w:p>
    <w:tbl>
      <w:tblPr>
        <w:tblW w:w="5148" w:type="dxa"/>
        <w:jc w:val="left"/>
        <w:tblInd w:w="0" w:type="dxa"/>
        <w:tblLayout w:type="fixed"/>
        <w:tblCellMar>
          <w:top w:w="28" w:type="dxa"/>
          <w:left w:w="28" w:type="dxa"/>
          <w:bottom w:w="28" w:type="dxa"/>
          <w:right w:w="28" w:type="dxa"/>
        </w:tblCellMar>
      </w:tblPr>
      <w:tblGrid>
        <w:gridCol w:w="1728"/>
        <w:gridCol w:w="3420"/>
      </w:tblGrid>
      <w:tr>
        <w:trPr>
          <w:tblHeader w:val="true"/>
        </w:trPr>
        <w:tc>
          <w:tcPr>
            <w:tcW w:w="1728" w:type="dxa"/>
            <w:tcBorders/>
            <w:vAlign w:val="center"/>
          </w:tcPr>
          <w:p>
            <w:pPr>
              <w:pStyle w:val="TableHeading"/>
              <w:suppressLineNumbers/>
              <w:shd w:fill="1F3A5F" w:val="clear"/>
              <w:bidi w:val="0"/>
              <w:spacing w:before="0" w:after="283"/>
              <w:jc w:val="center"/>
              <w:rPr/>
            </w:pPr>
            <w:r>
              <w:rPr/>
              <w:t>Issue</w:t>
            </w:r>
          </w:p>
        </w:tc>
        <w:tc>
          <w:tcPr>
            <w:tcW w:w="3420" w:type="dxa"/>
            <w:tcBorders/>
            <w:vAlign w:val="center"/>
          </w:tcPr>
          <w:p>
            <w:pPr>
              <w:pStyle w:val="TableHeading"/>
              <w:suppressLineNumbers/>
              <w:shd w:fill="1F3A5F" w:val="clear"/>
              <w:bidi w:val="0"/>
              <w:spacing w:before="0" w:after="283"/>
              <w:jc w:val="center"/>
              <w:rPr/>
            </w:pPr>
            <w:r>
              <w:rPr/>
              <w:t>Why it matters to quality</w:t>
            </w:r>
          </w:p>
        </w:tc>
      </w:tr>
      <w:tr>
        <w:trPr/>
        <w:tc>
          <w:tcPr>
            <w:tcW w:w="1728" w:type="dxa"/>
            <w:tcBorders/>
            <w:vAlign w:val="center"/>
          </w:tcPr>
          <w:p>
            <w:pPr>
              <w:pStyle w:val="TableContents"/>
              <w:bidi w:val="0"/>
              <w:spacing w:before="0" w:after="283"/>
              <w:jc w:val="left"/>
              <w:rPr/>
            </w:pPr>
            <w:r>
              <w:rPr/>
              <w:t>One developer, two Git identities, one email</w:t>
            </w:r>
          </w:p>
        </w:tc>
        <w:tc>
          <w:tcPr>
            <w:tcW w:w="3420" w:type="dxa"/>
            <w:tcBorders/>
            <w:vAlign w:val="center"/>
          </w:tcPr>
          <w:p>
            <w:pPr>
              <w:pStyle w:val="TableContents"/>
              <w:bidi w:val="0"/>
              <w:spacing w:before="0" w:after="283"/>
              <w:jc w:val="left"/>
              <w:rPr/>
            </w:pPr>
            <w:r>
              <w:rPr/>
              <w:t xml:space="preserve">202 commits from 2026-02-05 to </w:t>
            </w:r>
            <w:r>
              <w:rPr>
                <w:rStyle w:val="SourceText"/>
              </w:rPr>
              <w:t>ff29843</w:t>
            </w:r>
            <w:r>
              <w:rPr/>
              <w:t xml:space="preserve"> (2026-09-21). Concentration of all knowledge and all capacity in one person.</w:t>
            </w:r>
          </w:p>
        </w:tc>
      </w:tr>
      <w:tr>
        <w:trPr/>
        <w:tc>
          <w:tcPr>
            <w:tcW w:w="1728" w:type="dxa"/>
            <w:tcBorders/>
            <w:vAlign w:val="center"/>
          </w:tcPr>
          <w:p>
            <w:pPr>
              <w:pStyle w:val="TableContents"/>
              <w:bidi w:val="0"/>
              <w:spacing w:before="0" w:after="283"/>
              <w:jc w:val="left"/>
              <w:rPr/>
            </w:pPr>
            <w:r>
              <w:rPr/>
              <w:t>Development is direct-to-main</w:t>
            </w:r>
          </w:p>
        </w:tc>
        <w:tc>
          <w:tcPr>
            <w:tcW w:w="3420" w:type="dxa"/>
            <w:tcBorders/>
            <w:vAlign w:val="center"/>
          </w:tcPr>
          <w:p>
            <w:pPr>
              <w:pStyle w:val="TableContents"/>
              <w:bidi w:val="0"/>
              <w:spacing w:before="0" w:after="283"/>
              <w:jc w:val="left"/>
              <w:rPr/>
            </w:pPr>
            <w:r>
              <w:rPr/>
              <w:t xml:space="preserve">There is no </w:t>
            </w:r>
            <w:r>
              <w:rPr>
                <w:rStyle w:val="SourceText"/>
              </w:rPr>
              <w:t>.github/</w:t>
            </w:r>
            <w:r>
              <w:rPr/>
              <w:t xml:space="preserve"> directory, no CI configuration and no CODEOWNERS file in the repository. Only 2 of 202 commits are merges, both author-to-self on 2026-02-24. There is therefore no independent review gate.</w:t>
            </w:r>
          </w:p>
        </w:tc>
      </w:tr>
      <w:tr>
        <w:trPr/>
        <w:tc>
          <w:tcPr>
            <w:tcW w:w="1728" w:type="dxa"/>
            <w:tcBorders/>
            <w:vAlign w:val="center"/>
          </w:tcPr>
          <w:p>
            <w:pPr>
              <w:pStyle w:val="TableContents"/>
              <w:bidi w:val="0"/>
              <w:spacing w:before="0" w:after="283"/>
              <w:jc w:val="left"/>
              <w:rPr/>
            </w:pPr>
            <w:r>
              <w:rPr/>
              <w:t>A material share of development is AI-assisted and declared</w:t>
            </w:r>
          </w:p>
        </w:tc>
        <w:tc>
          <w:tcPr>
            <w:tcW w:w="3420" w:type="dxa"/>
            <w:tcBorders/>
            <w:vAlign w:val="center"/>
          </w:tcPr>
          <w:p>
            <w:pPr>
              <w:pStyle w:val="TableContents"/>
              <w:bidi w:val="0"/>
              <w:spacing w:before="0" w:after="283"/>
              <w:jc w:val="left"/>
              <w:rPr/>
            </w:pPr>
            <w:r>
              <w:rPr/>
              <w:t xml:space="preserve">Many substantive commits carry a </w:t>
            </w:r>
            <w:r>
              <w:rPr>
                <w:rStyle w:val="SourceText"/>
              </w:rPr>
              <w:t>Co-Authored-By: Claude …</w:t>
            </w:r>
            <w:r>
              <w:rPr/>
              <w:t xml:space="preserve"> trailer (for example </w:t>
            </w:r>
            <w:r>
              <w:rPr>
                <w:rStyle w:val="SourceText"/>
              </w:rPr>
              <w:t>558eaae</w:t>
            </w:r>
            <w:r>
              <w:rPr/>
              <w:t xml:space="preserve">, </w:t>
            </w:r>
            <w:r>
              <w:rPr>
                <w:rStyle w:val="SourceText"/>
              </w:rPr>
              <w:t>4e27109</w:t>
            </w:r>
            <w:r>
              <w:rPr/>
              <w:t xml:space="preserve">). Verification of that output is a control, not an option — see </w:t>
            </w:r>
            <w:r>
              <w:rPr>
                <w:rStyle w:val="SourceText"/>
              </w:rPr>
              <w:t>SOP-05</w:t>
            </w:r>
            <w:r>
              <w:rPr/>
              <w:t xml:space="preserve"> §7.</w:t>
            </w:r>
          </w:p>
        </w:tc>
      </w:tr>
      <w:tr>
        <w:trPr/>
        <w:tc>
          <w:tcPr>
            <w:tcW w:w="1728" w:type="dxa"/>
            <w:tcBorders/>
            <w:vAlign w:val="center"/>
          </w:tcPr>
          <w:p>
            <w:pPr>
              <w:pStyle w:val="TableContents"/>
              <w:bidi w:val="0"/>
              <w:spacing w:before="0" w:after="283"/>
              <w:jc w:val="left"/>
              <w:rPr/>
            </w:pPr>
            <w:r>
              <w:rPr/>
              <w:t>Strong written engineering rationale exists, in the wrong places for an auditor</w:t>
            </w:r>
          </w:p>
        </w:tc>
        <w:tc>
          <w:tcPr>
            <w:tcW w:w="3420" w:type="dxa"/>
            <w:tcBorders/>
            <w:vAlign w:val="center"/>
          </w:tcPr>
          <w:p>
            <w:pPr>
              <w:pStyle w:val="TableContents"/>
              <w:bidi w:val="0"/>
              <w:spacing w:before="0" w:after="283"/>
              <w:jc w:val="left"/>
              <w:rPr/>
            </w:pPr>
            <w:r>
              <w:rPr/>
              <w:t>Design reasoning lives in commit bodies and in inline comments (</w:t>
            </w:r>
            <w:r>
              <w:rPr>
                <w:rStyle w:val="SourceText"/>
              </w:rPr>
              <w:t>docker-compose.yml:7-11</w:t>
            </w:r>
            <w:r>
              <w:rPr/>
              <w:t xml:space="preserve">, </w:t>
            </w:r>
            <w:r>
              <w:rPr>
                <w:rStyle w:val="SourceText"/>
              </w:rPr>
              <w:t>41-44</w:t>
            </w:r>
            <w:r>
              <w:rPr/>
              <w:t xml:space="preserve">, </w:t>
            </w:r>
            <w:r>
              <w:rPr>
                <w:rStyle w:val="SourceText"/>
              </w:rPr>
              <w:t>69-72</w:t>
            </w:r>
            <w:r>
              <w:rPr/>
              <w:t xml:space="preserve">, </w:t>
            </w:r>
            <w:r>
              <w:rPr>
                <w:rStyle w:val="SourceText"/>
              </w:rPr>
              <w:t>108-112</w:t>
            </w:r>
            <w:r>
              <w:rPr/>
              <w:t>) rather than in decision records.</w:t>
            </w:r>
          </w:p>
        </w:tc>
      </w:tr>
      <w:tr>
        <w:trPr/>
        <w:tc>
          <w:tcPr>
            <w:tcW w:w="1728" w:type="dxa"/>
            <w:tcBorders/>
            <w:vAlign w:val="center"/>
          </w:tcPr>
          <w:p>
            <w:pPr>
              <w:pStyle w:val="TableContents"/>
              <w:bidi w:val="0"/>
              <w:spacing w:before="0" w:after="283"/>
              <w:jc w:val="left"/>
              <w:rPr/>
            </w:pPr>
            <w:r>
              <w:rPr/>
              <w:t>The product is pre-/early-commercial</w:t>
            </w:r>
          </w:p>
        </w:tc>
        <w:tc>
          <w:tcPr>
            <w:tcW w:w="3420" w:type="dxa"/>
            <w:tcBorders/>
            <w:vAlign w:val="center"/>
          </w:tcPr>
          <w:p>
            <w:pPr>
              <w:pStyle w:val="TableContents"/>
              <w:bidi w:val="0"/>
              <w:spacing w:before="0" w:after="283"/>
              <w:jc w:val="left"/>
              <w:rPr/>
            </w:pPr>
            <w:r>
              <w:rPr/>
              <w:t>Live at echomind-ajace.com via Cloudflare Tunnel. The deployment guide makes a Cloudflare Access login mandatory (</w:t>
            </w:r>
            <w:r>
              <w:rPr>
                <w:rStyle w:val="SourceText"/>
              </w:rPr>
              <w:t>docs/PUBLIC_DEPLOYMENT.md</w:t>
            </w:r>
            <w:r>
              <w:rPr/>
              <w:t xml:space="preserve"> step 4), but Access is not in use: the instance is gated by application login, restored on 2026-10-06 after being found switched off (</w:t>
            </w:r>
            <w:r>
              <w:rPr>
                <w:rStyle w:val="SourceText"/>
              </w:rPr>
              <w:t>REG-04</w:t>
            </w:r>
            <w:r>
              <w:rPr/>
              <w:t xml:space="preserve"> NC-2026-009). There is no customer base over which to spread risk, and no contract register.</w:t>
            </w:r>
          </w:p>
        </w:tc>
      </w:tr>
    </w:tbl>
    <w:p>
      <w:pPr>
        <w:pStyle w:val="Heading2"/>
        <w:bidi w:val="0"/>
        <w:jc w:val="left"/>
        <w:rPr/>
      </w:pPr>
      <w:r>
        <w:rPr/>
        <w:t>5. Interested parties and their requirements (4.2)</w:t>
      </w:r>
    </w:p>
    <w:p>
      <w:pPr>
        <w:pStyle w:val="BodyText"/>
        <w:bidi w:val="0"/>
        <w:jc w:val="left"/>
        <w:rPr/>
      </w:pPr>
      <w:r>
        <w:rPr/>
        <w:t>The Managing Director determines the interested parties relevant to the QMS and the requirements of those parties that Ajace AI must monitor. The table below is the current determination. It is reviewed at each management review.</w:t>
      </w:r>
    </w:p>
    <w:tbl>
      <w:tblPr>
        <w:tblW w:w="5148" w:type="dxa"/>
        <w:jc w:val="left"/>
        <w:tblInd w:w="0" w:type="dxa"/>
        <w:tblLayout w:type="fixed"/>
        <w:tblCellMar>
          <w:top w:w="28" w:type="dxa"/>
          <w:left w:w="28" w:type="dxa"/>
          <w:bottom w:w="28" w:type="dxa"/>
          <w:right w:w="28" w:type="dxa"/>
        </w:tblCellMar>
      </w:tblPr>
      <w:tblGrid>
        <w:gridCol w:w="1846"/>
        <w:gridCol w:w="1096"/>
        <w:gridCol w:w="2206"/>
      </w:tblGrid>
      <w:tr>
        <w:trPr>
          <w:tblHeader w:val="true"/>
        </w:trPr>
        <w:tc>
          <w:tcPr>
            <w:tcW w:w="1846" w:type="dxa"/>
            <w:tcBorders/>
            <w:vAlign w:val="center"/>
          </w:tcPr>
          <w:p>
            <w:pPr>
              <w:pStyle w:val="TableHeading"/>
              <w:suppressLineNumbers/>
              <w:shd w:fill="1F3A5F" w:val="clear"/>
              <w:bidi w:val="0"/>
              <w:spacing w:before="0" w:after="283"/>
              <w:jc w:val="center"/>
              <w:rPr/>
            </w:pPr>
            <w:r>
              <w:rPr/>
              <w:t>Interested party</w:t>
            </w:r>
          </w:p>
        </w:tc>
        <w:tc>
          <w:tcPr>
            <w:tcW w:w="1096" w:type="dxa"/>
            <w:tcBorders/>
            <w:vAlign w:val="center"/>
          </w:tcPr>
          <w:p>
            <w:pPr>
              <w:pStyle w:val="TableHeading"/>
              <w:suppressLineNumbers/>
              <w:shd w:fill="1F3A5F" w:val="clear"/>
              <w:bidi w:val="0"/>
              <w:spacing w:before="0" w:after="283"/>
              <w:jc w:val="center"/>
              <w:rPr/>
            </w:pPr>
            <w:r>
              <w:rPr/>
              <w:t>What they require from Ajace AI</w:t>
            </w:r>
          </w:p>
        </w:tc>
        <w:tc>
          <w:tcPr>
            <w:tcW w:w="2206" w:type="dxa"/>
            <w:tcBorders/>
            <w:vAlign w:val="center"/>
          </w:tcPr>
          <w:p>
            <w:pPr>
              <w:pStyle w:val="TableHeading"/>
              <w:suppressLineNumbers/>
              <w:shd w:fill="1F3A5F" w:val="clear"/>
              <w:bidi w:val="0"/>
              <w:spacing w:before="0" w:after="283"/>
              <w:jc w:val="center"/>
              <w:rPr/>
            </w:pPr>
            <w:r>
              <w:rPr/>
              <w:t>How the requirement is monitored</w:t>
            </w:r>
          </w:p>
        </w:tc>
      </w:tr>
      <w:tr>
        <w:trPr/>
        <w:tc>
          <w:tcPr>
            <w:tcW w:w="1846" w:type="dxa"/>
            <w:tcBorders/>
            <w:vAlign w:val="center"/>
          </w:tcPr>
          <w:p>
            <w:pPr>
              <w:pStyle w:val="TableContents"/>
              <w:bidi w:val="0"/>
              <w:spacing w:before="0" w:after="283"/>
              <w:jc w:val="left"/>
              <w:rPr/>
            </w:pPr>
            <w:r>
              <w:rPr/>
              <w:t>Customer organisations in defence, government, legal, finance and healthcare</w:t>
            </w:r>
          </w:p>
        </w:tc>
        <w:tc>
          <w:tcPr>
            <w:tcW w:w="1096" w:type="dxa"/>
            <w:tcBorders/>
            <w:vAlign w:val="center"/>
          </w:tcPr>
          <w:p>
            <w:pPr>
              <w:pStyle w:val="TableContents"/>
              <w:bidi w:val="0"/>
              <w:spacing w:before="0" w:after="283"/>
              <w:jc w:val="left"/>
              <w:rPr/>
            </w:pPr>
            <w:r>
              <w:rPr/>
              <w:t>Data never leaves their perimeter; answers grounded in their own material with attribution; tenant isolation between vertical packs; deployability on hardware they control; an auditable supplier</w:t>
            </w:r>
          </w:p>
        </w:tc>
        <w:tc>
          <w:tcPr>
            <w:tcW w:w="2206" w:type="dxa"/>
            <w:tcBorders/>
            <w:vAlign w:val="center"/>
          </w:tcPr>
          <w:p>
            <w:pPr>
              <w:pStyle w:val="TableContents"/>
              <w:bidi w:val="0"/>
              <w:spacing w:before="0" w:after="283"/>
              <w:jc w:val="left"/>
              <w:rPr/>
            </w:pPr>
            <w:r>
              <w:rPr/>
              <w:t xml:space="preserve">Requirements review under </w:t>
            </w:r>
            <w:r>
              <w:rPr>
                <w:rStyle w:val="SourceText"/>
              </w:rPr>
              <w:t>SOP-04</w:t>
            </w:r>
            <w:r>
              <w:rPr/>
              <w:t>; grounding and isolation measured by the golden-question harness (</w:t>
            </w:r>
            <w:r>
              <w:rPr>
                <w:rStyle w:val="SourceText"/>
              </w:rPr>
              <w:t>eval/run_eval.py</w:t>
            </w:r>
            <w:r>
              <w:rPr/>
              <w:t>) and by the paper harness (</w:t>
            </w:r>
            <w:r>
              <w:rPr>
                <w:rStyle w:val="SourceText"/>
              </w:rPr>
              <w:t>eval/paper/</w:t>
            </w:r>
            <w:r>
              <w:rPr/>
              <w:t>)</w:t>
            </w:r>
          </w:p>
        </w:tc>
      </w:tr>
      <w:tr>
        <w:trPr/>
        <w:tc>
          <w:tcPr>
            <w:tcW w:w="1846" w:type="dxa"/>
            <w:tcBorders/>
            <w:vAlign w:val="center"/>
          </w:tcPr>
          <w:p>
            <w:pPr>
              <w:pStyle w:val="TableContents"/>
              <w:bidi w:val="0"/>
              <w:spacing w:before="0" w:after="283"/>
              <w:jc w:val="left"/>
              <w:rPr/>
            </w:pPr>
            <w:r>
              <w:rPr/>
              <w:t>End users inside those organisations (analysts, clinicians, lawyers, meeting participants)</w:t>
            </w:r>
          </w:p>
        </w:tc>
        <w:tc>
          <w:tcPr>
            <w:tcW w:w="1096" w:type="dxa"/>
            <w:tcBorders/>
            <w:vAlign w:val="center"/>
          </w:tcPr>
          <w:p>
            <w:pPr>
              <w:pStyle w:val="TableContents"/>
              <w:bidi w:val="0"/>
              <w:spacing w:before="0" w:after="283"/>
              <w:jc w:val="left"/>
              <w:rPr/>
            </w:pPr>
            <w:r>
              <w:rPr/>
              <w:t>Answers that are correct or honestly absent; the system to say "I could not find that" rather than fill a gap; usable live transcription and voice; documentation they can follow</w:t>
            </w:r>
          </w:p>
        </w:tc>
        <w:tc>
          <w:tcPr>
            <w:tcW w:w="2206" w:type="dxa"/>
            <w:tcBorders/>
            <w:vAlign w:val="center"/>
          </w:tcPr>
          <w:p>
            <w:pPr>
              <w:pStyle w:val="TableContents"/>
              <w:bidi w:val="0"/>
              <w:spacing w:before="0" w:after="283"/>
              <w:jc w:val="left"/>
              <w:rPr/>
            </w:pPr>
            <w:r>
              <w:rPr/>
              <w:t xml:space="preserve">Abstention behaviour implemented at </w:t>
            </w:r>
            <w:r>
              <w:rPr>
                <w:rStyle w:val="SourceText"/>
              </w:rPr>
              <w:t>backend/app/rag/advanced.py:74</w:t>
            </w:r>
            <w:r>
              <w:rPr/>
              <w:t xml:space="preserve"> and asserted by golden items of type </w:t>
            </w:r>
            <w:r>
              <w:rPr>
                <w:rStyle w:val="SourceText"/>
              </w:rPr>
              <w:t>offcorpus</w:t>
            </w:r>
            <w:r>
              <w:rPr/>
              <w:t xml:space="preserve"> and </w:t>
            </w:r>
            <w:r>
              <w:rPr>
                <w:rStyle w:val="SourceText"/>
              </w:rPr>
              <w:t>refusal</w:t>
            </w:r>
            <w:r>
              <w:rPr/>
              <w:t xml:space="preserve"> (</w:t>
            </w:r>
            <w:r>
              <w:rPr>
                <w:rStyle w:val="SourceText"/>
              </w:rPr>
              <w:t>eval/README.md</w:t>
            </w:r>
            <w:r>
              <w:rPr/>
              <w:t xml:space="preserve">); </w:t>
            </w:r>
            <w:r>
              <w:rPr>
                <w:rStyle w:val="SourceText"/>
              </w:rPr>
              <w:t>docs/USER_MANUAL.md</w:t>
            </w:r>
            <w:r>
              <w:rPr/>
              <w:t xml:space="preserve"> (1257 lines)</w:t>
            </w:r>
          </w:p>
        </w:tc>
      </w:tr>
      <w:tr>
        <w:trPr/>
        <w:tc>
          <w:tcPr>
            <w:tcW w:w="1846" w:type="dxa"/>
            <w:tcBorders/>
            <w:vAlign w:val="center"/>
          </w:tcPr>
          <w:p>
            <w:pPr>
              <w:pStyle w:val="TableContents"/>
              <w:bidi w:val="0"/>
              <w:spacing w:before="0" w:after="283"/>
              <w:jc w:val="left"/>
              <w:rPr/>
            </w:pPr>
            <w:r>
              <w:rPr/>
              <w:t>Ajace AI itself — the Managing Director / Lead Engineer as owner and sole worker</w:t>
            </w:r>
          </w:p>
        </w:tc>
        <w:tc>
          <w:tcPr>
            <w:tcW w:w="1096" w:type="dxa"/>
            <w:tcBorders/>
            <w:vAlign w:val="center"/>
          </w:tcPr>
          <w:p>
            <w:pPr>
              <w:pStyle w:val="TableContents"/>
              <w:bidi w:val="0"/>
              <w:spacing w:before="0" w:after="283"/>
              <w:jc w:val="left"/>
              <w:rPr/>
            </w:pPr>
            <w:r>
              <w:rPr/>
              <w:t>Sustainable workload; the ability to be away without the product failing; knowledge retained outside one head</w:t>
            </w:r>
          </w:p>
        </w:tc>
        <w:tc>
          <w:tcPr>
            <w:tcW w:w="2206" w:type="dxa"/>
            <w:tcBorders/>
            <w:vAlign w:val="center"/>
          </w:tcPr>
          <w:p>
            <w:pPr>
              <w:pStyle w:val="TableContents"/>
              <w:bidi w:val="0"/>
              <w:spacing w:before="0" w:after="283"/>
              <w:jc w:val="left"/>
              <w:rPr/>
            </w:pPr>
            <w:r>
              <w:rPr/>
              <w:t xml:space="preserve">This procedure; </w:t>
            </w:r>
            <w:r>
              <w:rPr>
                <w:rStyle w:val="SourceText"/>
              </w:rPr>
              <w:t>SOP-03</w:t>
            </w:r>
            <w:r>
              <w:rPr/>
              <w:t xml:space="preserve"> §6; the bus-factor risk in </w:t>
            </w:r>
            <w:r>
              <w:rPr>
                <w:rStyle w:val="SourceText"/>
              </w:rPr>
              <w:t>registers/REG-03_Risk_Register.md</w:t>
            </w:r>
          </w:p>
        </w:tc>
      </w:tr>
      <w:tr>
        <w:trPr/>
        <w:tc>
          <w:tcPr>
            <w:tcW w:w="1846" w:type="dxa"/>
            <w:tcBorders/>
            <w:vAlign w:val="center"/>
          </w:tcPr>
          <w:p>
            <w:pPr>
              <w:pStyle w:val="TableContents"/>
              <w:bidi w:val="0"/>
              <w:spacing w:before="0" w:after="283"/>
              <w:jc w:val="left"/>
              <w:rPr/>
            </w:pPr>
            <w:r>
              <w:rPr/>
              <w:t>NVIDIA — GPU hardware, driver, CUDA, TensorRT-LLM, NeMo ASR</w:t>
            </w:r>
          </w:p>
        </w:tc>
        <w:tc>
          <w:tcPr>
            <w:tcW w:w="1096" w:type="dxa"/>
            <w:tcBorders/>
            <w:vAlign w:val="center"/>
          </w:tcPr>
          <w:p>
            <w:pPr>
              <w:pStyle w:val="TableContents"/>
              <w:bidi w:val="0"/>
              <w:spacing w:before="0" w:after="283"/>
              <w:jc w:val="left"/>
              <w:rPr/>
            </w:pPr>
            <w:r>
              <w:rPr/>
              <w:t>Stable, released versions; compatibility of the driver, the runtime and the model kernels</w:t>
            </w:r>
          </w:p>
        </w:tc>
        <w:tc>
          <w:tcPr>
            <w:tcW w:w="2206" w:type="dxa"/>
            <w:tcBorders/>
            <w:vAlign w:val="center"/>
          </w:tcPr>
          <w:p>
            <w:pPr>
              <w:pStyle w:val="TableContents"/>
              <w:bidi w:val="0"/>
              <w:spacing w:before="0" w:after="283"/>
              <w:jc w:val="left"/>
              <w:rPr/>
            </w:pPr>
            <w:r>
              <w:rPr>
                <w:rStyle w:val="SourceText"/>
              </w:rPr>
              <w:t>docker-compose.yml:5</w:t>
            </w:r>
            <w:r>
              <w:rPr/>
              <w:t xml:space="preserve"> (TensorRT-LLM image tag), </w:t>
            </w:r>
            <w:r>
              <w:rPr>
                <w:rStyle w:val="SourceText"/>
              </w:rPr>
              <w:t>backend/Dockerfile:19</w:t>
            </w:r>
            <w:r>
              <w:rPr/>
              <w:t xml:space="preserve"> and </w:t>
            </w:r>
            <w:r>
              <w:rPr>
                <w:rStyle w:val="SourceText"/>
              </w:rPr>
              <w:t>voice/Dockerfile:18</w:t>
            </w:r>
            <w:r>
              <w:rPr/>
              <w:t xml:space="preserve"> (NeMo from </w:t>
            </w:r>
            <w:r>
              <w:rPr>
                <w:rStyle w:val="SourceText"/>
              </w:rPr>
              <w:t>@main</w:t>
            </w:r>
            <w:r>
              <w:rPr/>
              <w:t xml:space="preserve">), </w:t>
            </w:r>
            <w:r>
              <w:rPr>
                <w:rStyle w:val="SourceText"/>
              </w:rPr>
              <w:t>docker-compose.yml:186</w:t>
            </w:r>
            <w:r>
              <w:rPr/>
              <w:t xml:space="preserve"> (Parakeet-TDT final ASR)</w:t>
            </w:r>
          </w:p>
        </w:tc>
      </w:tr>
      <w:tr>
        <w:trPr/>
        <w:tc>
          <w:tcPr>
            <w:tcW w:w="1846" w:type="dxa"/>
            <w:tcBorders/>
            <w:vAlign w:val="center"/>
          </w:tcPr>
          <w:p>
            <w:pPr>
              <w:pStyle w:val="TableContents"/>
              <w:bidi w:val="0"/>
              <w:spacing w:before="0" w:after="283"/>
              <w:jc w:val="left"/>
              <w:rPr/>
            </w:pPr>
            <w:r>
              <w:rPr/>
              <w:t xml:space="preserve">Open-weight model providers (Qwen chat weights; </w:t>
            </w:r>
            <w:r>
              <w:rPr>
                <w:rStyle w:val="SourceText"/>
              </w:rPr>
              <w:t>nomic-embed-text</w:t>
            </w:r>
            <w:r>
              <w:rPr/>
              <w:t xml:space="preserve"> embeddings; Piper TTS voices)</w:t>
            </w:r>
          </w:p>
        </w:tc>
        <w:tc>
          <w:tcPr>
            <w:tcW w:w="1096" w:type="dxa"/>
            <w:tcBorders/>
            <w:vAlign w:val="center"/>
          </w:tcPr>
          <w:p>
            <w:pPr>
              <w:pStyle w:val="TableContents"/>
              <w:bidi w:val="0"/>
              <w:spacing w:before="0" w:after="283"/>
              <w:jc w:val="left"/>
              <w:rPr/>
            </w:pPr>
            <w:r>
              <w:rPr/>
              <w:t>Licence terms that permit on-premises commercial deployment; model behaviour stable across versions</w:t>
            </w:r>
          </w:p>
        </w:tc>
        <w:tc>
          <w:tcPr>
            <w:tcW w:w="2206" w:type="dxa"/>
            <w:tcBorders/>
            <w:vAlign w:val="center"/>
          </w:tcPr>
          <w:p>
            <w:pPr>
              <w:pStyle w:val="TableContents"/>
              <w:bidi w:val="0"/>
              <w:spacing w:before="0" w:after="283"/>
              <w:jc w:val="left"/>
              <w:rPr/>
            </w:pPr>
            <w:r>
              <w:rPr>
                <w:rStyle w:val="SourceText"/>
              </w:rPr>
              <w:t>docker-compose.yml:73-76</w:t>
            </w:r>
            <w:r>
              <w:rPr/>
              <w:t xml:space="preserve">; licences to be recorded in </w:t>
            </w:r>
            <w:r>
              <w:rPr>
                <w:rStyle w:val="SourceText"/>
              </w:rPr>
              <w:t>registers/REG-02_External_Documents_and_Providers.md</w:t>
            </w:r>
          </w:p>
        </w:tc>
      </w:tr>
      <w:tr>
        <w:trPr/>
        <w:tc>
          <w:tcPr>
            <w:tcW w:w="1846" w:type="dxa"/>
            <w:tcBorders/>
            <w:vAlign w:val="center"/>
          </w:tcPr>
          <w:p>
            <w:pPr>
              <w:pStyle w:val="TableContents"/>
              <w:bidi w:val="0"/>
              <w:spacing w:before="0" w:after="283"/>
              <w:jc w:val="left"/>
              <w:rPr/>
            </w:pPr>
            <w:r>
              <w:rPr/>
              <w:t>Infrastructure and platform suppliers (Docker, Ollama, Cloudflare Tunnel and Access, Hugging Face as a weight distribution channel)</w:t>
            </w:r>
          </w:p>
        </w:tc>
        <w:tc>
          <w:tcPr>
            <w:tcW w:w="1096" w:type="dxa"/>
            <w:tcBorders/>
            <w:vAlign w:val="center"/>
          </w:tcPr>
          <w:p>
            <w:pPr>
              <w:pStyle w:val="TableContents"/>
              <w:bidi w:val="0"/>
              <w:spacing w:before="0" w:after="283"/>
              <w:jc w:val="left"/>
              <w:rPr/>
            </w:pPr>
            <w:r>
              <w:rPr/>
              <w:t>Availability where used; and, for an offline deployment, the ability to be removed from the runtime path entirely</w:t>
            </w:r>
          </w:p>
        </w:tc>
        <w:tc>
          <w:tcPr>
            <w:tcW w:w="2206" w:type="dxa"/>
            <w:tcBorders/>
            <w:vAlign w:val="center"/>
          </w:tcPr>
          <w:p>
            <w:pPr>
              <w:pStyle w:val="TableContents"/>
              <w:bidi w:val="0"/>
              <w:spacing w:before="0" w:after="283"/>
              <w:jc w:val="left"/>
              <w:rPr/>
            </w:pPr>
            <w:r>
              <w:rPr>
                <w:rStyle w:val="SourceText"/>
              </w:rPr>
              <w:t>docker-compose.yml:223-227</w:t>
            </w:r>
            <w:r>
              <w:rPr/>
              <w:t xml:space="preserve"> (cloudflared, </w:t>
            </w:r>
            <w:r>
              <w:rPr>
                <w:rStyle w:val="SourceText"/>
              </w:rPr>
              <w:t>public</w:t>
            </w:r>
            <w:r>
              <w:rPr/>
              <w:t xml:space="preserve"> profile only); </w:t>
            </w:r>
            <w:r>
              <w:rPr>
                <w:rStyle w:val="SourceText"/>
              </w:rPr>
              <w:t>docker-compose.yml:170</w:t>
            </w:r>
            <w:r>
              <w:rPr/>
              <w:t xml:space="preserve"> (runtime Piper voice download from Hugging Face disabled for offline)</w:t>
            </w:r>
          </w:p>
        </w:tc>
      </w:tr>
      <w:tr>
        <w:trPr/>
        <w:tc>
          <w:tcPr>
            <w:tcW w:w="1846" w:type="dxa"/>
            <w:tcBorders/>
            <w:vAlign w:val="center"/>
          </w:tcPr>
          <w:p>
            <w:pPr>
              <w:pStyle w:val="TableContents"/>
              <w:bidi w:val="0"/>
              <w:spacing w:before="0" w:after="283"/>
              <w:jc w:val="left"/>
              <w:rPr/>
            </w:pPr>
            <w:r>
              <w:rPr/>
              <w:t>Open-source Python and JavaScript library maintainers</w:t>
            </w:r>
          </w:p>
        </w:tc>
        <w:tc>
          <w:tcPr>
            <w:tcW w:w="1096" w:type="dxa"/>
            <w:tcBorders/>
            <w:vAlign w:val="center"/>
          </w:tcPr>
          <w:p>
            <w:pPr>
              <w:pStyle w:val="TableContents"/>
              <w:bidi w:val="0"/>
              <w:spacing w:before="0" w:after="283"/>
              <w:jc w:val="left"/>
              <w:rPr/>
            </w:pPr>
            <w:r>
              <w:rPr/>
              <w:t>Correct attribution and licence compliance; our defect reports where we find defects</w:t>
            </w:r>
          </w:p>
        </w:tc>
        <w:tc>
          <w:tcPr>
            <w:tcW w:w="2206" w:type="dxa"/>
            <w:tcBorders/>
            <w:vAlign w:val="center"/>
          </w:tcPr>
          <w:p>
            <w:pPr>
              <w:pStyle w:val="TableContents"/>
              <w:bidi w:val="0"/>
              <w:spacing w:before="0" w:after="283"/>
              <w:jc w:val="left"/>
              <w:rPr/>
            </w:pPr>
            <w:r>
              <w:rPr>
                <w:rStyle w:val="SourceText"/>
              </w:rPr>
              <w:t>registers/REG-02_External_Documents_and_Providers.md</w:t>
            </w:r>
          </w:p>
        </w:tc>
      </w:tr>
      <w:tr>
        <w:trPr/>
        <w:tc>
          <w:tcPr>
            <w:tcW w:w="1846" w:type="dxa"/>
            <w:tcBorders/>
            <w:vAlign w:val="center"/>
          </w:tcPr>
          <w:p>
            <w:pPr>
              <w:pStyle w:val="TableContents"/>
              <w:bidi w:val="0"/>
              <w:spacing w:before="0" w:after="283"/>
              <w:jc w:val="left"/>
              <w:rPr/>
            </w:pPr>
            <w:r>
              <w:rPr/>
              <w:t>Conference and academic reviewers (QASC 2026)</w:t>
            </w:r>
          </w:p>
        </w:tc>
        <w:tc>
          <w:tcPr>
            <w:tcW w:w="1096" w:type="dxa"/>
            <w:tcBorders/>
            <w:vAlign w:val="center"/>
          </w:tcPr>
          <w:p>
            <w:pPr>
              <w:pStyle w:val="TableContents"/>
              <w:bidi w:val="0"/>
              <w:spacing w:before="0" w:after="283"/>
              <w:jc w:val="left"/>
              <w:rPr/>
            </w:pPr>
            <w:r>
              <w:rPr/>
              <w:t>Claims that are reproducible from recorded evidence; experiments reported as run only when run</w:t>
            </w:r>
          </w:p>
        </w:tc>
        <w:tc>
          <w:tcPr>
            <w:tcW w:w="2206" w:type="dxa"/>
            <w:tcBorders/>
            <w:vAlign w:val="center"/>
          </w:tcPr>
          <w:p>
            <w:pPr>
              <w:pStyle w:val="TableContents"/>
              <w:bidi w:val="0"/>
              <w:spacing w:before="0" w:after="283"/>
              <w:jc w:val="left"/>
              <w:rPr/>
            </w:pPr>
            <w:r>
              <w:rPr>
                <w:rStyle w:val="SourceText"/>
              </w:rPr>
              <w:t>eval/paper/results/SUMMARY.json</w:t>
            </w:r>
            <w:r>
              <w:rPr/>
              <w:t xml:space="preserve">, which records E2 as </w:t>
            </w:r>
            <w:r>
              <w:rPr>
                <w:rStyle w:val="SourceText"/>
              </w:rPr>
              <w:t>not_run</w:t>
            </w:r>
            <w:r>
              <w:rPr/>
              <w:t xml:space="preserve"> with the reason, and records where measurements contradict the paper text</w:t>
            </w:r>
          </w:p>
        </w:tc>
      </w:tr>
      <w:tr>
        <w:trPr/>
        <w:tc>
          <w:tcPr>
            <w:tcW w:w="1846" w:type="dxa"/>
            <w:tcBorders/>
            <w:vAlign w:val="center"/>
          </w:tcPr>
          <w:p>
            <w:pPr>
              <w:pStyle w:val="TableContents"/>
              <w:bidi w:val="0"/>
              <w:spacing w:before="0" w:after="283"/>
              <w:jc w:val="left"/>
              <w:rPr/>
            </w:pPr>
            <w:r>
              <w:rPr/>
              <w:t>Regulators of the customers' sectors (indirect party)</w:t>
            </w:r>
          </w:p>
        </w:tc>
        <w:tc>
          <w:tcPr>
            <w:tcW w:w="1096" w:type="dxa"/>
            <w:tcBorders/>
            <w:vAlign w:val="center"/>
          </w:tcPr>
          <w:p>
            <w:pPr>
              <w:pStyle w:val="TableContents"/>
              <w:bidi w:val="0"/>
              <w:spacing w:before="0" w:after="283"/>
              <w:jc w:val="left"/>
              <w:rPr/>
            </w:pPr>
            <w:r>
              <w:rPr/>
              <w:t>That the product does not put the customer in breach — data residency, record-keeping, professional-advice boundaries</w:t>
            </w:r>
          </w:p>
        </w:tc>
        <w:tc>
          <w:tcPr>
            <w:tcW w:w="2206" w:type="dxa"/>
            <w:tcBorders/>
            <w:vAlign w:val="center"/>
          </w:tcPr>
          <w:p>
            <w:pPr>
              <w:pStyle w:val="TableContents"/>
              <w:bidi w:val="0"/>
              <w:spacing w:before="0" w:after="283"/>
              <w:jc w:val="left"/>
              <w:rPr/>
            </w:pPr>
            <w:r>
              <w:rPr/>
              <w:t xml:space="preserve">Requirements capture under </w:t>
            </w:r>
            <w:r>
              <w:rPr>
                <w:rStyle w:val="SourceText"/>
              </w:rPr>
              <w:t>SOP-04</w:t>
            </w:r>
            <w:r>
              <w:rPr/>
              <w:t xml:space="preserve"> §4; the lawyer-persona disclaimer consistency test at </w:t>
            </w:r>
            <w:r>
              <w:rPr>
                <w:rStyle w:val="SourceText"/>
              </w:rPr>
              <w:t>backend/tests/test_prompt_guards.py:29</w:t>
            </w:r>
          </w:p>
        </w:tc>
      </w:tr>
    </w:tbl>
    <w:p>
      <w:pPr>
        <w:pStyle w:val="BodyText"/>
        <w:bidi w:val="0"/>
        <w:jc w:val="left"/>
        <w:rPr/>
      </w:pPr>
      <w:r>
        <w:rPr/>
        <w:t>Requirements of interested parties become inputs to design (</w:t>
      </w:r>
      <w:r>
        <w:rPr>
          <w:rStyle w:val="SourceText"/>
        </w:rPr>
        <w:t>SOP-05</w:t>
      </w:r>
      <w:r>
        <w:rPr/>
        <w:t xml:space="preserve"> §4) and to the quality objectives in </w:t>
      </w:r>
      <w:r>
        <w:rPr>
          <w:rStyle w:val="SourceText"/>
        </w:rPr>
        <w:t>QO-01</w:t>
      </w:r>
      <w:r>
        <w:rPr/>
        <w:t>.</w:t>
      </w:r>
    </w:p>
    <w:p>
      <w:pPr>
        <w:pStyle w:val="Heading2"/>
        <w:bidi w:val="0"/>
        <w:jc w:val="left"/>
        <w:rPr/>
      </w:pPr>
      <w:r>
        <w:rPr/>
        <w:t>6. Risk and opportunity: how they are identified (6.1.1)</w:t>
      </w:r>
    </w:p>
    <w:p>
      <w:pPr>
        <w:pStyle w:val="BodyText"/>
        <w:bidi w:val="0"/>
        <w:jc w:val="left"/>
        <w:rPr/>
      </w:pPr>
      <w:r>
        <w:rPr/>
        <w:t>Risks and opportunities are identified from five sources. The first three are continuous; the last two are periodic.</w:t>
      </w:r>
    </w:p>
    <w:p>
      <w:pPr>
        <w:pStyle w:val="BodyText"/>
        <w:numPr>
          <w:ilvl w:val="0"/>
          <w:numId w:val="1"/>
        </w:numPr>
        <w:tabs>
          <w:tab w:val="clear" w:pos="1134"/>
          <w:tab w:val="left" w:pos="709" w:leader="none"/>
        </w:tabs>
        <w:bidi w:val="0"/>
        <w:spacing w:before="0" w:after="0"/>
        <w:ind w:hanging="283" w:left="709"/>
        <w:jc w:val="left"/>
        <w:rPr/>
      </w:pPr>
      <w:r>
        <w:rPr>
          <w:rStyle w:val="Strong"/>
        </w:rPr>
        <w:t>Engineering work.</w:t>
      </w:r>
      <w:r>
        <w:rPr/>
        <w:t xml:space="preserve"> Anything a contributor recognises while building, debugging or deploying. The historical record shows this is where most real risks have surfaced — for example the dependency drift recorded at </w:t>
      </w:r>
      <w:r>
        <w:rPr>
          <w:rStyle w:val="SourceText"/>
        </w:rPr>
        <w:t>backend/Dockerfile:30-32</w:t>
      </w:r>
      <w:r>
        <w:rPr/>
        <w:t xml:space="preserve">. </w:t>
      </w:r>
    </w:p>
    <w:p>
      <w:pPr>
        <w:pStyle w:val="BodyText"/>
        <w:numPr>
          <w:ilvl w:val="0"/>
          <w:numId w:val="1"/>
        </w:numPr>
        <w:tabs>
          <w:tab w:val="clear" w:pos="1134"/>
          <w:tab w:val="left" w:pos="709" w:leader="none"/>
        </w:tabs>
        <w:bidi w:val="0"/>
        <w:spacing w:before="0" w:after="0"/>
        <w:ind w:hanging="283" w:left="709"/>
        <w:jc w:val="left"/>
        <w:rPr/>
      </w:pPr>
      <w:r>
        <w:rPr>
          <w:rStyle w:val="Strong"/>
        </w:rPr>
        <w:t>Incidents.</w:t>
      </w:r>
      <w:r>
        <w:rPr/>
        <w:t xml:space="preserve"> Any production or build failure. Commit </w:t>
      </w:r>
      <w:r>
        <w:rPr>
          <w:rStyle w:val="SourceText"/>
        </w:rPr>
        <w:t>724fb98</w:t>
      </w:r>
      <w:r>
        <w:rPr/>
        <w:t xml:space="preserve"> records a real outage of this kind: NeMo installed from </w:t>
      </w:r>
      <w:r>
        <w:rPr>
          <w:rStyle w:val="SourceText"/>
        </w:rPr>
        <w:t>@main</w:t>
      </w:r>
      <w:r>
        <w:rPr/>
        <w:t xml:space="preserve"> pulled </w:t>
      </w:r>
      <w:r>
        <w:rPr>
          <w:rStyle w:val="SourceText"/>
        </w:rPr>
        <w:t>setuptools&gt;=82</w:t>
      </w:r>
      <w:r>
        <w:rPr/>
        <w:t xml:space="preserve">, which removed </w:t>
      </w:r>
      <w:r>
        <w:rPr>
          <w:rStyle w:val="SourceText"/>
        </w:rPr>
        <w:t>pkg_resources</w:t>
      </w:r>
      <w:r>
        <w:rPr/>
        <w:t xml:space="preserve">, breaking </w:t>
      </w:r>
      <w:r>
        <w:rPr>
          <w:rStyle w:val="SourceText"/>
        </w:rPr>
        <w:t>librosa</w:t>
      </w:r>
      <w:r>
        <w:rPr/>
        <w:t xml:space="preserve"> at build time and </w:t>
      </w:r>
      <w:r>
        <w:rPr>
          <w:rStyle w:val="SourceText"/>
        </w:rPr>
        <w:t>webrtcvad</w:t>
      </w:r>
      <w:r>
        <w:rPr/>
        <w:t xml:space="preserve"> at runtime. </w:t>
      </w:r>
    </w:p>
    <w:p>
      <w:pPr>
        <w:pStyle w:val="BodyText"/>
        <w:numPr>
          <w:ilvl w:val="0"/>
          <w:numId w:val="1"/>
        </w:numPr>
        <w:tabs>
          <w:tab w:val="clear" w:pos="1134"/>
          <w:tab w:val="left" w:pos="709" w:leader="none"/>
        </w:tabs>
        <w:bidi w:val="0"/>
        <w:spacing w:before="0" w:after="0"/>
        <w:ind w:hanging="283" w:left="709"/>
        <w:jc w:val="left"/>
        <w:rPr/>
      </w:pPr>
      <w:r>
        <w:rPr>
          <w:rStyle w:val="Strong"/>
        </w:rPr>
        <w:t>Evaluation results.</w:t>
      </w:r>
      <w:r>
        <w:rPr/>
        <w:t xml:space="preserve"> A drop in the golden-question suite, or a paper-harness experiment that contradicts an assumption, is treated as a risk signal (</w:t>
      </w:r>
      <w:r>
        <w:rPr>
          <w:rStyle w:val="SourceText"/>
        </w:rPr>
        <w:t>eval/paper/results/SUMMARY.json</w:t>
      </w:r>
      <w:r>
        <w:rPr/>
        <w:t xml:space="preserve"> records both an outright contradiction in E1 and a partial one in E3). </w:t>
      </w:r>
    </w:p>
    <w:p>
      <w:pPr>
        <w:pStyle w:val="BodyText"/>
        <w:numPr>
          <w:ilvl w:val="0"/>
          <w:numId w:val="1"/>
        </w:numPr>
        <w:tabs>
          <w:tab w:val="clear" w:pos="1134"/>
          <w:tab w:val="left" w:pos="709" w:leader="none"/>
        </w:tabs>
        <w:bidi w:val="0"/>
        <w:spacing w:before="0" w:after="0"/>
        <w:ind w:hanging="283" w:left="709"/>
        <w:jc w:val="left"/>
        <w:rPr/>
      </w:pPr>
      <w:r>
        <w:rPr>
          <w:rStyle w:val="Strong"/>
        </w:rPr>
        <w:t>Management review</w:t>
      </w:r>
      <w:r>
        <w:rPr/>
        <w:t xml:space="preserve"> under </w:t>
      </w:r>
      <w:r>
        <w:rPr>
          <w:rStyle w:val="SourceText"/>
        </w:rPr>
        <w:t>SOP-15</w:t>
      </w:r>
      <w:r>
        <w:rPr/>
        <w:t xml:space="preserve">, which reviews the whole register. </w:t>
      </w:r>
    </w:p>
    <w:p>
      <w:pPr>
        <w:pStyle w:val="BodyText"/>
        <w:numPr>
          <w:ilvl w:val="0"/>
          <w:numId w:val="1"/>
        </w:numPr>
        <w:tabs>
          <w:tab w:val="clear" w:pos="1134"/>
          <w:tab w:val="left" w:pos="709" w:leader="none"/>
        </w:tabs>
        <w:bidi w:val="0"/>
        <w:ind w:hanging="283" w:left="709"/>
        <w:jc w:val="left"/>
        <w:rPr/>
      </w:pPr>
      <w:r>
        <w:rPr>
          <w:rStyle w:val="Strong"/>
        </w:rPr>
        <w:t>Context review</w:t>
      </w:r>
      <w:r>
        <w:rPr/>
        <w:t xml:space="preserve"> under §4 and §5 of this procedure. </w:t>
      </w:r>
    </w:p>
    <w:p>
      <w:pPr>
        <w:pStyle w:val="BodyText"/>
        <w:bidi w:val="0"/>
        <w:jc w:val="left"/>
        <w:rPr/>
      </w:pPr>
      <w:r>
        <w:rPr/>
        <w:t xml:space="preserve">Opportunities are recorded in the same register and in the same way. An opportunity for this organisation is typically a change that removes a class of risk rather than a commercial upside — for example, moving from SQLite to Postgres removes the single-writer scaling wall described in </w:t>
      </w:r>
      <w:r>
        <w:rPr>
          <w:rStyle w:val="SourceText"/>
        </w:rPr>
        <w:t>docs/POSTGRES_MIGRATION.md</w:t>
      </w:r>
      <w:r>
        <w:rPr/>
        <w:t xml:space="preserve"> (whose header states "Status: planned, not executed").</w:t>
      </w:r>
    </w:p>
    <w:p>
      <w:pPr>
        <w:pStyle w:val="Heading2"/>
        <w:bidi w:val="0"/>
        <w:jc w:val="left"/>
        <w:rPr/>
      </w:pPr>
      <w:r>
        <w:rPr/>
        <w:t>7. Risk assessment scale</w:t>
      </w:r>
    </w:p>
    <w:p>
      <w:pPr>
        <w:pStyle w:val="BodyText"/>
        <w:bidi w:val="0"/>
        <w:jc w:val="left"/>
        <w:rPr/>
      </w:pPr>
      <w:r>
        <w:rPr/>
        <w:t>Each risk is scored on likelihood and impact. Score = likelihood × impact.</w:t>
      </w:r>
    </w:p>
    <w:p>
      <w:pPr>
        <w:pStyle w:val="BodyText"/>
        <w:bidi w:val="0"/>
        <w:jc w:val="left"/>
        <w:rPr/>
      </w:pPr>
      <w:r>
        <w:rPr>
          <w:rStyle w:val="Strong"/>
        </w:rPr>
        <w:t>Likelihood — the chance of the risk materialising within the next 12 months:</w:t>
      </w:r>
    </w:p>
    <w:tbl>
      <w:tblPr>
        <w:tblW w:w="5148" w:type="dxa"/>
        <w:jc w:val="left"/>
        <w:tblInd w:w="0" w:type="dxa"/>
        <w:tblLayout w:type="fixed"/>
        <w:tblCellMar>
          <w:top w:w="28" w:type="dxa"/>
          <w:left w:w="28" w:type="dxa"/>
          <w:bottom w:w="28" w:type="dxa"/>
          <w:right w:w="28" w:type="dxa"/>
        </w:tblCellMar>
      </w:tblPr>
      <w:tblGrid>
        <w:gridCol w:w="571"/>
        <w:gridCol w:w="1020"/>
        <w:gridCol w:w="3557"/>
      </w:tblGrid>
      <w:tr>
        <w:trPr>
          <w:tblHeader w:val="true"/>
        </w:trPr>
        <w:tc>
          <w:tcPr>
            <w:tcW w:w="571" w:type="dxa"/>
            <w:tcBorders/>
            <w:vAlign w:val="center"/>
          </w:tcPr>
          <w:p>
            <w:pPr>
              <w:pStyle w:val="TableHeading"/>
              <w:suppressLineNumbers/>
              <w:shd w:fill="1F3A5F" w:val="clear"/>
              <w:bidi w:val="0"/>
              <w:spacing w:before="0" w:after="283"/>
              <w:jc w:val="center"/>
              <w:rPr/>
            </w:pPr>
            <w:r>
              <w:rPr/>
              <w:t>Level</w:t>
            </w:r>
          </w:p>
        </w:tc>
        <w:tc>
          <w:tcPr>
            <w:tcW w:w="1020" w:type="dxa"/>
            <w:tcBorders/>
            <w:vAlign w:val="center"/>
          </w:tcPr>
          <w:p>
            <w:pPr>
              <w:pStyle w:val="TableHeading"/>
              <w:suppressLineNumbers/>
              <w:shd w:fill="1F3A5F" w:val="clear"/>
              <w:bidi w:val="0"/>
              <w:spacing w:before="0" w:after="283"/>
              <w:jc w:val="center"/>
              <w:rPr/>
            </w:pPr>
            <w:r>
              <w:rPr/>
              <w:t>Name</w:t>
            </w:r>
          </w:p>
        </w:tc>
        <w:tc>
          <w:tcPr>
            <w:tcW w:w="3557" w:type="dxa"/>
            <w:tcBorders/>
            <w:vAlign w:val="center"/>
          </w:tcPr>
          <w:p>
            <w:pPr>
              <w:pStyle w:val="TableHeading"/>
              <w:suppressLineNumbers/>
              <w:shd w:fill="1F3A5F" w:val="clear"/>
              <w:bidi w:val="0"/>
              <w:spacing w:before="0" w:after="283"/>
              <w:jc w:val="center"/>
              <w:rPr/>
            </w:pPr>
            <w:r>
              <w:rPr/>
              <w:t>Meaning</w:t>
            </w:r>
          </w:p>
        </w:tc>
      </w:tr>
      <w:tr>
        <w:trPr/>
        <w:tc>
          <w:tcPr>
            <w:tcW w:w="571" w:type="dxa"/>
            <w:tcBorders/>
            <w:vAlign w:val="center"/>
          </w:tcPr>
          <w:p>
            <w:pPr>
              <w:pStyle w:val="TableContents"/>
              <w:bidi w:val="0"/>
              <w:spacing w:before="0" w:after="283"/>
              <w:jc w:val="left"/>
              <w:rPr/>
            </w:pPr>
            <w:r>
              <w:rPr/>
              <w:t>1</w:t>
            </w:r>
          </w:p>
        </w:tc>
        <w:tc>
          <w:tcPr>
            <w:tcW w:w="1020" w:type="dxa"/>
            <w:tcBorders/>
            <w:vAlign w:val="center"/>
          </w:tcPr>
          <w:p>
            <w:pPr>
              <w:pStyle w:val="TableContents"/>
              <w:bidi w:val="0"/>
              <w:spacing w:before="0" w:after="283"/>
              <w:jc w:val="left"/>
              <w:rPr/>
            </w:pPr>
            <w:r>
              <w:rPr/>
              <w:t>Rare</w:t>
            </w:r>
          </w:p>
        </w:tc>
        <w:tc>
          <w:tcPr>
            <w:tcW w:w="3557" w:type="dxa"/>
            <w:tcBorders/>
            <w:vAlign w:val="center"/>
          </w:tcPr>
          <w:p>
            <w:pPr>
              <w:pStyle w:val="TableContents"/>
              <w:bidi w:val="0"/>
              <w:spacing w:before="0" w:after="283"/>
              <w:jc w:val="left"/>
              <w:rPr/>
            </w:pPr>
            <w:r>
              <w:rPr/>
              <w:t>No known occurrence; would require an unusual combination of events</w:t>
            </w:r>
          </w:p>
        </w:tc>
      </w:tr>
      <w:tr>
        <w:trPr/>
        <w:tc>
          <w:tcPr>
            <w:tcW w:w="571" w:type="dxa"/>
            <w:tcBorders/>
            <w:vAlign w:val="center"/>
          </w:tcPr>
          <w:p>
            <w:pPr>
              <w:pStyle w:val="TableContents"/>
              <w:bidi w:val="0"/>
              <w:spacing w:before="0" w:after="283"/>
              <w:jc w:val="left"/>
              <w:rPr/>
            </w:pPr>
            <w:r>
              <w:rPr/>
              <w:t>2</w:t>
            </w:r>
          </w:p>
        </w:tc>
        <w:tc>
          <w:tcPr>
            <w:tcW w:w="1020" w:type="dxa"/>
            <w:tcBorders/>
            <w:vAlign w:val="center"/>
          </w:tcPr>
          <w:p>
            <w:pPr>
              <w:pStyle w:val="TableContents"/>
              <w:bidi w:val="0"/>
              <w:spacing w:before="0" w:after="283"/>
              <w:jc w:val="left"/>
              <w:rPr/>
            </w:pPr>
            <w:r>
              <w:rPr/>
              <w:t>Unlikely</w:t>
            </w:r>
          </w:p>
        </w:tc>
        <w:tc>
          <w:tcPr>
            <w:tcW w:w="3557" w:type="dxa"/>
            <w:tcBorders/>
            <w:vAlign w:val="center"/>
          </w:tcPr>
          <w:p>
            <w:pPr>
              <w:pStyle w:val="TableContents"/>
              <w:bidi w:val="0"/>
              <w:spacing w:before="0" w:after="283"/>
              <w:jc w:val="left"/>
              <w:rPr/>
            </w:pPr>
            <w:r>
              <w:rPr/>
              <w:t>Plausible but not expected</w:t>
            </w:r>
          </w:p>
        </w:tc>
      </w:tr>
      <w:tr>
        <w:trPr/>
        <w:tc>
          <w:tcPr>
            <w:tcW w:w="571" w:type="dxa"/>
            <w:tcBorders/>
            <w:vAlign w:val="center"/>
          </w:tcPr>
          <w:p>
            <w:pPr>
              <w:pStyle w:val="TableContents"/>
              <w:bidi w:val="0"/>
              <w:spacing w:before="0" w:after="283"/>
              <w:jc w:val="left"/>
              <w:rPr/>
            </w:pPr>
            <w:r>
              <w:rPr/>
              <w:t>3</w:t>
            </w:r>
          </w:p>
        </w:tc>
        <w:tc>
          <w:tcPr>
            <w:tcW w:w="1020" w:type="dxa"/>
            <w:tcBorders/>
            <w:vAlign w:val="center"/>
          </w:tcPr>
          <w:p>
            <w:pPr>
              <w:pStyle w:val="TableContents"/>
              <w:bidi w:val="0"/>
              <w:spacing w:before="0" w:after="283"/>
              <w:jc w:val="left"/>
              <w:rPr/>
            </w:pPr>
            <w:r>
              <w:rPr/>
              <w:t>Possible</w:t>
            </w:r>
          </w:p>
        </w:tc>
        <w:tc>
          <w:tcPr>
            <w:tcW w:w="3557" w:type="dxa"/>
            <w:tcBorders/>
            <w:vAlign w:val="center"/>
          </w:tcPr>
          <w:p>
            <w:pPr>
              <w:pStyle w:val="TableContents"/>
              <w:bidi w:val="0"/>
              <w:spacing w:before="0" w:after="283"/>
              <w:jc w:val="left"/>
              <w:rPr/>
            </w:pPr>
            <w:r>
              <w:rPr/>
              <w:t>Expected roughly once in the period, or has happened once before</w:t>
            </w:r>
          </w:p>
        </w:tc>
      </w:tr>
      <w:tr>
        <w:trPr/>
        <w:tc>
          <w:tcPr>
            <w:tcW w:w="571" w:type="dxa"/>
            <w:tcBorders/>
            <w:vAlign w:val="center"/>
          </w:tcPr>
          <w:p>
            <w:pPr>
              <w:pStyle w:val="TableContents"/>
              <w:bidi w:val="0"/>
              <w:spacing w:before="0" w:after="283"/>
              <w:jc w:val="left"/>
              <w:rPr/>
            </w:pPr>
            <w:r>
              <w:rPr/>
              <w:t>4</w:t>
            </w:r>
          </w:p>
        </w:tc>
        <w:tc>
          <w:tcPr>
            <w:tcW w:w="1020" w:type="dxa"/>
            <w:tcBorders/>
            <w:vAlign w:val="center"/>
          </w:tcPr>
          <w:p>
            <w:pPr>
              <w:pStyle w:val="TableContents"/>
              <w:bidi w:val="0"/>
              <w:spacing w:before="0" w:after="283"/>
              <w:jc w:val="left"/>
              <w:rPr/>
            </w:pPr>
            <w:r>
              <w:rPr/>
              <w:t>Likely</w:t>
            </w:r>
          </w:p>
        </w:tc>
        <w:tc>
          <w:tcPr>
            <w:tcW w:w="3557" w:type="dxa"/>
            <w:tcBorders/>
            <w:vAlign w:val="center"/>
          </w:tcPr>
          <w:p>
            <w:pPr>
              <w:pStyle w:val="TableContents"/>
              <w:bidi w:val="0"/>
              <w:spacing w:before="0" w:after="283"/>
              <w:jc w:val="left"/>
              <w:rPr/>
            </w:pPr>
            <w:r>
              <w:rPr/>
              <w:t>Expected more than once in the period</w:t>
            </w:r>
          </w:p>
        </w:tc>
      </w:tr>
      <w:tr>
        <w:trPr/>
        <w:tc>
          <w:tcPr>
            <w:tcW w:w="571" w:type="dxa"/>
            <w:tcBorders/>
            <w:vAlign w:val="center"/>
          </w:tcPr>
          <w:p>
            <w:pPr>
              <w:pStyle w:val="TableContents"/>
              <w:bidi w:val="0"/>
              <w:spacing w:before="0" w:after="283"/>
              <w:jc w:val="left"/>
              <w:rPr/>
            </w:pPr>
            <w:r>
              <w:rPr/>
              <w:t>5</w:t>
            </w:r>
          </w:p>
        </w:tc>
        <w:tc>
          <w:tcPr>
            <w:tcW w:w="1020" w:type="dxa"/>
            <w:tcBorders/>
            <w:vAlign w:val="center"/>
          </w:tcPr>
          <w:p>
            <w:pPr>
              <w:pStyle w:val="TableContents"/>
              <w:bidi w:val="0"/>
              <w:spacing w:before="0" w:after="283"/>
              <w:jc w:val="left"/>
              <w:rPr/>
            </w:pPr>
            <w:r>
              <w:rPr/>
              <w:t>Almost certain</w:t>
            </w:r>
          </w:p>
        </w:tc>
        <w:tc>
          <w:tcPr>
            <w:tcW w:w="3557" w:type="dxa"/>
            <w:tcBorders/>
            <w:vAlign w:val="center"/>
          </w:tcPr>
          <w:p>
            <w:pPr>
              <w:pStyle w:val="TableContents"/>
              <w:bidi w:val="0"/>
              <w:spacing w:before="0" w:after="283"/>
              <w:jc w:val="left"/>
              <w:rPr/>
            </w:pPr>
            <w:r>
              <w:rPr/>
              <w:t>Occurring now, or certain to occur unless treated</w:t>
            </w:r>
          </w:p>
        </w:tc>
      </w:tr>
    </w:tbl>
    <w:p>
      <w:pPr>
        <w:pStyle w:val="BodyText"/>
        <w:bidi w:val="0"/>
        <w:jc w:val="left"/>
        <w:rPr/>
      </w:pPr>
      <w:r>
        <w:rPr>
          <w:rStyle w:val="Strong"/>
        </w:rPr>
        <w:t>Impact — the worst credible consequence if it materialises:</w:t>
      </w:r>
    </w:p>
    <w:tbl>
      <w:tblPr>
        <w:tblW w:w="5148" w:type="dxa"/>
        <w:jc w:val="left"/>
        <w:tblInd w:w="0" w:type="dxa"/>
        <w:tblLayout w:type="fixed"/>
        <w:tblCellMar>
          <w:top w:w="28" w:type="dxa"/>
          <w:left w:w="28" w:type="dxa"/>
          <w:bottom w:w="28" w:type="dxa"/>
          <w:right w:w="28" w:type="dxa"/>
        </w:tblCellMar>
      </w:tblPr>
      <w:tblGrid>
        <w:gridCol w:w="571"/>
        <w:gridCol w:w="886"/>
        <w:gridCol w:w="3691"/>
      </w:tblGrid>
      <w:tr>
        <w:trPr>
          <w:tblHeader w:val="true"/>
        </w:trPr>
        <w:tc>
          <w:tcPr>
            <w:tcW w:w="571" w:type="dxa"/>
            <w:tcBorders/>
            <w:vAlign w:val="center"/>
          </w:tcPr>
          <w:p>
            <w:pPr>
              <w:pStyle w:val="TableHeading"/>
              <w:suppressLineNumbers/>
              <w:shd w:fill="1F3A5F" w:val="clear"/>
              <w:bidi w:val="0"/>
              <w:spacing w:before="0" w:after="283"/>
              <w:jc w:val="center"/>
              <w:rPr/>
            </w:pPr>
            <w:r>
              <w:rPr/>
              <w:t>Level</w:t>
            </w:r>
          </w:p>
        </w:tc>
        <w:tc>
          <w:tcPr>
            <w:tcW w:w="886" w:type="dxa"/>
            <w:tcBorders/>
            <w:vAlign w:val="center"/>
          </w:tcPr>
          <w:p>
            <w:pPr>
              <w:pStyle w:val="TableHeading"/>
              <w:suppressLineNumbers/>
              <w:shd w:fill="1F3A5F" w:val="clear"/>
              <w:bidi w:val="0"/>
              <w:spacing w:before="0" w:after="283"/>
              <w:jc w:val="center"/>
              <w:rPr/>
            </w:pPr>
            <w:r>
              <w:rPr/>
              <w:t>Name</w:t>
            </w:r>
          </w:p>
        </w:tc>
        <w:tc>
          <w:tcPr>
            <w:tcW w:w="3691" w:type="dxa"/>
            <w:tcBorders/>
            <w:vAlign w:val="center"/>
          </w:tcPr>
          <w:p>
            <w:pPr>
              <w:pStyle w:val="TableHeading"/>
              <w:suppressLineNumbers/>
              <w:shd w:fill="1F3A5F" w:val="clear"/>
              <w:bidi w:val="0"/>
              <w:spacing w:before="0" w:after="283"/>
              <w:jc w:val="center"/>
              <w:rPr/>
            </w:pPr>
            <w:r>
              <w:rPr/>
              <w:t>Meaning for EchoMind Enterprise</w:t>
            </w:r>
          </w:p>
        </w:tc>
      </w:tr>
      <w:tr>
        <w:trPr/>
        <w:tc>
          <w:tcPr>
            <w:tcW w:w="571" w:type="dxa"/>
            <w:tcBorders/>
            <w:vAlign w:val="center"/>
          </w:tcPr>
          <w:p>
            <w:pPr>
              <w:pStyle w:val="TableContents"/>
              <w:bidi w:val="0"/>
              <w:spacing w:before="0" w:after="283"/>
              <w:jc w:val="left"/>
              <w:rPr/>
            </w:pPr>
            <w:r>
              <w:rPr/>
              <w:t>1</w:t>
            </w:r>
          </w:p>
        </w:tc>
        <w:tc>
          <w:tcPr>
            <w:tcW w:w="886" w:type="dxa"/>
            <w:tcBorders/>
            <w:vAlign w:val="center"/>
          </w:tcPr>
          <w:p>
            <w:pPr>
              <w:pStyle w:val="TableContents"/>
              <w:bidi w:val="0"/>
              <w:spacing w:before="0" w:after="283"/>
              <w:jc w:val="left"/>
              <w:rPr/>
            </w:pPr>
            <w:r>
              <w:rPr/>
              <w:t>Negligible</w:t>
            </w:r>
          </w:p>
        </w:tc>
        <w:tc>
          <w:tcPr>
            <w:tcW w:w="3691" w:type="dxa"/>
            <w:tcBorders/>
            <w:vAlign w:val="center"/>
          </w:tcPr>
          <w:p>
            <w:pPr>
              <w:pStyle w:val="TableContents"/>
              <w:bidi w:val="0"/>
              <w:spacing w:before="0" w:after="283"/>
              <w:jc w:val="left"/>
              <w:rPr/>
            </w:pPr>
            <w:r>
              <w:rPr/>
              <w:t>Internal inconvenience; no customer visibility</w:t>
            </w:r>
          </w:p>
        </w:tc>
      </w:tr>
      <w:tr>
        <w:trPr/>
        <w:tc>
          <w:tcPr>
            <w:tcW w:w="571" w:type="dxa"/>
            <w:tcBorders/>
            <w:vAlign w:val="center"/>
          </w:tcPr>
          <w:p>
            <w:pPr>
              <w:pStyle w:val="TableContents"/>
              <w:bidi w:val="0"/>
              <w:spacing w:before="0" w:after="283"/>
              <w:jc w:val="left"/>
              <w:rPr/>
            </w:pPr>
            <w:r>
              <w:rPr/>
              <w:t>2</w:t>
            </w:r>
          </w:p>
        </w:tc>
        <w:tc>
          <w:tcPr>
            <w:tcW w:w="886" w:type="dxa"/>
            <w:tcBorders/>
            <w:vAlign w:val="center"/>
          </w:tcPr>
          <w:p>
            <w:pPr>
              <w:pStyle w:val="TableContents"/>
              <w:bidi w:val="0"/>
              <w:spacing w:before="0" w:after="283"/>
              <w:jc w:val="left"/>
              <w:rPr/>
            </w:pPr>
            <w:r>
              <w:rPr/>
              <w:t>Minor</w:t>
            </w:r>
          </w:p>
        </w:tc>
        <w:tc>
          <w:tcPr>
            <w:tcW w:w="3691" w:type="dxa"/>
            <w:tcBorders/>
            <w:vAlign w:val="center"/>
          </w:tcPr>
          <w:p>
            <w:pPr>
              <w:pStyle w:val="TableContents"/>
              <w:bidi w:val="0"/>
              <w:spacing w:before="0" w:after="283"/>
              <w:jc w:val="left"/>
              <w:rPr/>
            </w:pPr>
            <w:r>
              <w:rPr/>
              <w:t>Degraded feature; workaround exists; no data affected</w:t>
            </w:r>
          </w:p>
        </w:tc>
      </w:tr>
      <w:tr>
        <w:trPr/>
        <w:tc>
          <w:tcPr>
            <w:tcW w:w="571" w:type="dxa"/>
            <w:tcBorders/>
            <w:vAlign w:val="center"/>
          </w:tcPr>
          <w:p>
            <w:pPr>
              <w:pStyle w:val="TableContents"/>
              <w:bidi w:val="0"/>
              <w:spacing w:before="0" w:after="283"/>
              <w:jc w:val="left"/>
              <w:rPr/>
            </w:pPr>
            <w:r>
              <w:rPr/>
              <w:t>3</w:t>
            </w:r>
          </w:p>
        </w:tc>
        <w:tc>
          <w:tcPr>
            <w:tcW w:w="886" w:type="dxa"/>
            <w:tcBorders/>
            <w:vAlign w:val="center"/>
          </w:tcPr>
          <w:p>
            <w:pPr>
              <w:pStyle w:val="TableContents"/>
              <w:bidi w:val="0"/>
              <w:spacing w:before="0" w:after="283"/>
              <w:jc w:val="left"/>
              <w:rPr/>
            </w:pPr>
            <w:r>
              <w:rPr/>
              <w:t>Moderate</w:t>
            </w:r>
          </w:p>
        </w:tc>
        <w:tc>
          <w:tcPr>
            <w:tcW w:w="3691" w:type="dxa"/>
            <w:tcBorders/>
            <w:vAlign w:val="center"/>
          </w:tcPr>
          <w:p>
            <w:pPr>
              <w:pStyle w:val="TableContents"/>
              <w:bidi w:val="0"/>
              <w:spacing w:before="0" w:after="283"/>
              <w:jc w:val="left"/>
              <w:rPr/>
            </w:pPr>
            <w:r>
              <w:rPr/>
              <w:t>Feature unavailable to a customer, or a published claim shown to be unsupported</w:t>
            </w:r>
          </w:p>
        </w:tc>
      </w:tr>
      <w:tr>
        <w:trPr/>
        <w:tc>
          <w:tcPr>
            <w:tcW w:w="571" w:type="dxa"/>
            <w:tcBorders/>
            <w:vAlign w:val="center"/>
          </w:tcPr>
          <w:p>
            <w:pPr>
              <w:pStyle w:val="TableContents"/>
              <w:bidi w:val="0"/>
              <w:spacing w:before="0" w:after="283"/>
              <w:jc w:val="left"/>
              <w:rPr/>
            </w:pPr>
            <w:r>
              <w:rPr/>
              <w:t>4</w:t>
            </w:r>
          </w:p>
        </w:tc>
        <w:tc>
          <w:tcPr>
            <w:tcW w:w="886" w:type="dxa"/>
            <w:tcBorders/>
            <w:vAlign w:val="center"/>
          </w:tcPr>
          <w:p>
            <w:pPr>
              <w:pStyle w:val="TableContents"/>
              <w:bidi w:val="0"/>
              <w:spacing w:before="0" w:after="283"/>
              <w:jc w:val="left"/>
              <w:rPr/>
            </w:pPr>
            <w:r>
              <w:rPr/>
              <w:t>Major</w:t>
            </w:r>
          </w:p>
        </w:tc>
        <w:tc>
          <w:tcPr>
            <w:tcW w:w="3691" w:type="dxa"/>
            <w:tcBorders/>
            <w:vAlign w:val="center"/>
          </w:tcPr>
          <w:p>
            <w:pPr>
              <w:pStyle w:val="TableContents"/>
              <w:bidi w:val="0"/>
              <w:spacing w:before="0" w:after="283"/>
              <w:jc w:val="left"/>
              <w:rPr/>
            </w:pPr>
            <w:r>
              <w:rPr/>
              <w:t>Ungrounded or fabricated content reaches a user in a regulated sector; or a deployment is unavailable for a working day; or recoverable data loss</w:t>
            </w:r>
          </w:p>
        </w:tc>
      </w:tr>
      <w:tr>
        <w:trPr/>
        <w:tc>
          <w:tcPr>
            <w:tcW w:w="571" w:type="dxa"/>
            <w:tcBorders/>
            <w:vAlign w:val="center"/>
          </w:tcPr>
          <w:p>
            <w:pPr>
              <w:pStyle w:val="TableContents"/>
              <w:bidi w:val="0"/>
              <w:spacing w:before="0" w:after="283"/>
              <w:jc w:val="left"/>
              <w:rPr/>
            </w:pPr>
            <w:r>
              <w:rPr/>
              <w:t>5</w:t>
            </w:r>
          </w:p>
        </w:tc>
        <w:tc>
          <w:tcPr>
            <w:tcW w:w="886" w:type="dxa"/>
            <w:tcBorders/>
            <w:vAlign w:val="center"/>
          </w:tcPr>
          <w:p>
            <w:pPr>
              <w:pStyle w:val="TableContents"/>
              <w:bidi w:val="0"/>
              <w:spacing w:before="0" w:after="283"/>
              <w:jc w:val="left"/>
              <w:rPr/>
            </w:pPr>
            <w:r>
              <w:rPr/>
              <w:t>Severe</w:t>
            </w:r>
          </w:p>
        </w:tc>
        <w:tc>
          <w:tcPr>
            <w:tcW w:w="3691" w:type="dxa"/>
            <w:tcBorders/>
            <w:vAlign w:val="center"/>
          </w:tcPr>
          <w:p>
            <w:pPr>
              <w:pStyle w:val="TableContents"/>
              <w:bidi w:val="0"/>
              <w:spacing w:before="0" w:after="283"/>
              <w:jc w:val="left"/>
              <w:rPr/>
            </w:pPr>
            <w:r>
              <w:rPr/>
              <w:t>Customer data leaves the customer's perimeter, or crosses a tenant boundary, or is irrecoverably lost</w:t>
            </w:r>
          </w:p>
        </w:tc>
      </w:tr>
    </w:tbl>
    <w:p>
      <w:pPr>
        <w:pStyle w:val="BodyText"/>
        <w:bidi w:val="0"/>
        <w:jc w:val="left"/>
        <w:rPr/>
      </w:pPr>
      <w:r>
        <w:rPr>
          <w:rStyle w:val="Strong"/>
        </w:rPr>
        <w:t>Bands and required response:</w:t>
      </w:r>
    </w:p>
    <w:tbl>
      <w:tblPr>
        <w:tblW w:w="5148" w:type="dxa"/>
        <w:jc w:val="left"/>
        <w:tblInd w:w="0" w:type="dxa"/>
        <w:tblLayout w:type="fixed"/>
        <w:tblCellMar>
          <w:top w:w="28" w:type="dxa"/>
          <w:left w:w="28" w:type="dxa"/>
          <w:bottom w:w="28" w:type="dxa"/>
          <w:right w:w="28" w:type="dxa"/>
        </w:tblCellMar>
      </w:tblPr>
      <w:tblGrid>
        <w:gridCol w:w="616"/>
        <w:gridCol w:w="736"/>
        <w:gridCol w:w="3796"/>
      </w:tblGrid>
      <w:tr>
        <w:trPr>
          <w:tblHeader w:val="true"/>
        </w:trPr>
        <w:tc>
          <w:tcPr>
            <w:tcW w:w="616" w:type="dxa"/>
            <w:tcBorders/>
            <w:vAlign w:val="center"/>
          </w:tcPr>
          <w:p>
            <w:pPr>
              <w:pStyle w:val="TableHeading"/>
              <w:suppressLineNumbers/>
              <w:shd w:fill="1F3A5F" w:val="clear"/>
              <w:bidi w:val="0"/>
              <w:spacing w:before="0" w:after="283"/>
              <w:jc w:val="center"/>
              <w:rPr/>
            </w:pPr>
            <w:r>
              <w:rPr/>
              <w:t>Score</w:t>
            </w:r>
          </w:p>
        </w:tc>
        <w:tc>
          <w:tcPr>
            <w:tcW w:w="736" w:type="dxa"/>
            <w:tcBorders/>
            <w:vAlign w:val="center"/>
          </w:tcPr>
          <w:p>
            <w:pPr>
              <w:pStyle w:val="TableHeading"/>
              <w:suppressLineNumbers/>
              <w:shd w:fill="1F3A5F" w:val="clear"/>
              <w:bidi w:val="0"/>
              <w:spacing w:before="0" w:after="283"/>
              <w:jc w:val="center"/>
              <w:rPr/>
            </w:pPr>
            <w:r>
              <w:rPr/>
              <w:t>Band</w:t>
            </w:r>
          </w:p>
        </w:tc>
        <w:tc>
          <w:tcPr>
            <w:tcW w:w="3796" w:type="dxa"/>
            <w:tcBorders/>
            <w:vAlign w:val="center"/>
          </w:tcPr>
          <w:p>
            <w:pPr>
              <w:pStyle w:val="TableHeading"/>
              <w:suppressLineNumbers/>
              <w:shd w:fill="1F3A5F" w:val="clear"/>
              <w:bidi w:val="0"/>
              <w:spacing w:before="0" w:after="283"/>
              <w:jc w:val="center"/>
              <w:rPr/>
            </w:pPr>
            <w:r>
              <w:rPr/>
              <w:t>Required response</w:t>
            </w:r>
          </w:p>
        </w:tc>
      </w:tr>
      <w:tr>
        <w:trPr/>
        <w:tc>
          <w:tcPr>
            <w:tcW w:w="616" w:type="dxa"/>
            <w:tcBorders/>
            <w:vAlign w:val="center"/>
          </w:tcPr>
          <w:p>
            <w:pPr>
              <w:pStyle w:val="TableContents"/>
              <w:bidi w:val="0"/>
              <w:spacing w:before="0" w:after="283"/>
              <w:jc w:val="left"/>
              <w:rPr/>
            </w:pPr>
            <w:r>
              <w:rPr/>
              <w:t>1–4</w:t>
            </w:r>
          </w:p>
        </w:tc>
        <w:tc>
          <w:tcPr>
            <w:tcW w:w="736" w:type="dxa"/>
            <w:tcBorders/>
            <w:vAlign w:val="center"/>
          </w:tcPr>
          <w:p>
            <w:pPr>
              <w:pStyle w:val="TableContents"/>
              <w:bidi w:val="0"/>
              <w:spacing w:before="0" w:after="283"/>
              <w:jc w:val="left"/>
              <w:rPr/>
            </w:pPr>
            <w:r>
              <w:rPr/>
              <w:t>Low</w:t>
            </w:r>
          </w:p>
        </w:tc>
        <w:tc>
          <w:tcPr>
            <w:tcW w:w="3796" w:type="dxa"/>
            <w:tcBorders/>
            <w:vAlign w:val="center"/>
          </w:tcPr>
          <w:p>
            <w:pPr>
              <w:pStyle w:val="TableContents"/>
              <w:bidi w:val="0"/>
              <w:spacing w:before="0" w:after="283"/>
              <w:jc w:val="left"/>
              <w:rPr/>
            </w:pPr>
            <w:r>
              <w:rPr/>
              <w:t>Accept and record. Review at management review.</w:t>
            </w:r>
          </w:p>
        </w:tc>
      </w:tr>
      <w:tr>
        <w:trPr/>
        <w:tc>
          <w:tcPr>
            <w:tcW w:w="616" w:type="dxa"/>
            <w:tcBorders/>
            <w:vAlign w:val="center"/>
          </w:tcPr>
          <w:p>
            <w:pPr>
              <w:pStyle w:val="TableContents"/>
              <w:bidi w:val="0"/>
              <w:spacing w:before="0" w:after="283"/>
              <w:jc w:val="left"/>
              <w:rPr/>
            </w:pPr>
            <w:r>
              <w:rPr/>
              <w:t>5–9</w:t>
            </w:r>
          </w:p>
        </w:tc>
        <w:tc>
          <w:tcPr>
            <w:tcW w:w="736" w:type="dxa"/>
            <w:tcBorders/>
            <w:vAlign w:val="center"/>
          </w:tcPr>
          <w:p>
            <w:pPr>
              <w:pStyle w:val="TableContents"/>
              <w:bidi w:val="0"/>
              <w:spacing w:before="0" w:after="283"/>
              <w:jc w:val="left"/>
              <w:rPr/>
            </w:pPr>
            <w:r>
              <w:rPr/>
              <w:t>Medium</w:t>
            </w:r>
          </w:p>
        </w:tc>
        <w:tc>
          <w:tcPr>
            <w:tcW w:w="3796" w:type="dxa"/>
            <w:tcBorders/>
            <w:vAlign w:val="center"/>
          </w:tcPr>
          <w:p>
            <w:pPr>
              <w:pStyle w:val="TableContents"/>
              <w:bidi w:val="0"/>
              <w:spacing w:before="0" w:after="283"/>
              <w:jc w:val="left"/>
              <w:rPr/>
            </w:pPr>
            <w:r>
              <w:rPr/>
              <w:t>Treatment planned with a named owning role and a target date. Review at management review.</w:t>
            </w:r>
          </w:p>
        </w:tc>
      </w:tr>
      <w:tr>
        <w:trPr/>
        <w:tc>
          <w:tcPr>
            <w:tcW w:w="616" w:type="dxa"/>
            <w:tcBorders/>
            <w:vAlign w:val="center"/>
          </w:tcPr>
          <w:p>
            <w:pPr>
              <w:pStyle w:val="TableContents"/>
              <w:bidi w:val="0"/>
              <w:spacing w:before="0" w:after="283"/>
              <w:jc w:val="left"/>
              <w:rPr/>
            </w:pPr>
            <w:r>
              <w:rPr/>
              <w:t>10–14</w:t>
            </w:r>
          </w:p>
        </w:tc>
        <w:tc>
          <w:tcPr>
            <w:tcW w:w="736" w:type="dxa"/>
            <w:tcBorders/>
            <w:vAlign w:val="center"/>
          </w:tcPr>
          <w:p>
            <w:pPr>
              <w:pStyle w:val="TableContents"/>
              <w:bidi w:val="0"/>
              <w:spacing w:before="0" w:after="283"/>
              <w:jc w:val="left"/>
              <w:rPr/>
            </w:pPr>
            <w:r>
              <w:rPr/>
              <w:t>High</w:t>
            </w:r>
          </w:p>
        </w:tc>
        <w:tc>
          <w:tcPr>
            <w:tcW w:w="3796" w:type="dxa"/>
            <w:tcBorders/>
            <w:vAlign w:val="center"/>
          </w:tcPr>
          <w:p>
            <w:pPr>
              <w:pStyle w:val="TableContents"/>
              <w:bidi w:val="0"/>
              <w:spacing w:before="0" w:after="283"/>
              <w:jc w:val="left"/>
              <w:rPr/>
            </w:pPr>
            <w:r>
              <w:rPr/>
              <w:t>Treatment planned and started before the next release that touches the affected area. Reviewed monthly by the Managing Director.</w:t>
            </w:r>
          </w:p>
        </w:tc>
      </w:tr>
      <w:tr>
        <w:trPr/>
        <w:tc>
          <w:tcPr>
            <w:tcW w:w="616" w:type="dxa"/>
            <w:tcBorders/>
            <w:vAlign w:val="center"/>
          </w:tcPr>
          <w:p>
            <w:pPr>
              <w:pStyle w:val="TableContents"/>
              <w:bidi w:val="0"/>
              <w:spacing w:before="0" w:after="283"/>
              <w:jc w:val="left"/>
              <w:rPr/>
            </w:pPr>
            <w:r>
              <w:rPr/>
              <w:t>15–25</w:t>
            </w:r>
          </w:p>
        </w:tc>
        <w:tc>
          <w:tcPr>
            <w:tcW w:w="736" w:type="dxa"/>
            <w:tcBorders/>
            <w:vAlign w:val="center"/>
          </w:tcPr>
          <w:p>
            <w:pPr>
              <w:pStyle w:val="TableContents"/>
              <w:bidi w:val="0"/>
              <w:spacing w:before="0" w:after="283"/>
              <w:jc w:val="left"/>
              <w:rPr/>
            </w:pPr>
            <w:r>
              <w:rPr/>
              <w:t>Critical</w:t>
            </w:r>
          </w:p>
        </w:tc>
        <w:tc>
          <w:tcPr>
            <w:tcW w:w="3796" w:type="dxa"/>
            <w:tcBorders/>
            <w:vAlign w:val="center"/>
          </w:tcPr>
          <w:p>
            <w:pPr>
              <w:pStyle w:val="TableContents"/>
              <w:bidi w:val="0"/>
              <w:spacing w:before="0" w:after="283"/>
              <w:jc w:val="left"/>
              <w:rPr/>
            </w:pPr>
            <w:r>
              <w:rPr/>
              <w:t>Work on new functionality in the affected area stops until the risk is reduced below 15, or the Managing Director records an explicit, dated, written acceptance of the residual risk with the reason.</w:t>
            </w:r>
          </w:p>
        </w:tc>
      </w:tr>
    </w:tbl>
    <w:p>
      <w:pPr>
        <w:pStyle w:val="BodyText"/>
        <w:bidi w:val="0"/>
        <w:jc w:val="left"/>
        <w:rPr/>
      </w:pPr>
      <w:r>
        <w:rPr/>
        <w:t>An impact of 5 may not be accepted without a written acceptance recorded in the register, whatever the likelihood.</w:t>
      </w:r>
    </w:p>
    <w:p>
      <w:pPr>
        <w:pStyle w:val="Heading2"/>
        <w:bidi w:val="0"/>
        <w:jc w:val="left"/>
        <w:rPr/>
      </w:pPr>
      <w:r>
        <w:rPr/>
        <w:t>8. Risk treatment (6.1.2)</w:t>
      </w:r>
    </w:p>
    <w:p>
      <w:pPr>
        <w:pStyle w:val="BodyText"/>
        <w:bidi w:val="0"/>
        <w:jc w:val="left"/>
        <w:rPr/>
      </w:pPr>
      <w:r>
        <w:rPr/>
        <w:t>For each risk the register records: the risk, its source, the score before treatment, the treatment option chosen, the owning role, the target date, the evidence that the treatment is in place, and the score after treatment.</w:t>
      </w:r>
    </w:p>
    <w:tbl>
      <w:tblPr>
        <w:tblW w:w="5148" w:type="dxa"/>
        <w:jc w:val="left"/>
        <w:tblInd w:w="0" w:type="dxa"/>
        <w:tblLayout w:type="fixed"/>
        <w:tblCellMar>
          <w:top w:w="28" w:type="dxa"/>
          <w:left w:w="28" w:type="dxa"/>
          <w:bottom w:w="28" w:type="dxa"/>
          <w:right w:w="28" w:type="dxa"/>
        </w:tblCellMar>
      </w:tblPr>
      <w:tblGrid>
        <w:gridCol w:w="889"/>
        <w:gridCol w:w="1824"/>
        <w:gridCol w:w="2435"/>
      </w:tblGrid>
      <w:tr>
        <w:trPr>
          <w:tblHeader w:val="true"/>
        </w:trPr>
        <w:tc>
          <w:tcPr>
            <w:tcW w:w="889" w:type="dxa"/>
            <w:tcBorders/>
            <w:vAlign w:val="center"/>
          </w:tcPr>
          <w:p>
            <w:pPr>
              <w:pStyle w:val="TableHeading"/>
              <w:suppressLineNumbers/>
              <w:shd w:fill="1F3A5F" w:val="clear"/>
              <w:bidi w:val="0"/>
              <w:spacing w:before="0" w:after="283"/>
              <w:jc w:val="center"/>
              <w:rPr/>
            </w:pPr>
            <w:r>
              <w:rPr/>
              <w:t>Option</w:t>
            </w:r>
          </w:p>
        </w:tc>
        <w:tc>
          <w:tcPr>
            <w:tcW w:w="1824" w:type="dxa"/>
            <w:tcBorders/>
            <w:vAlign w:val="center"/>
          </w:tcPr>
          <w:p>
            <w:pPr>
              <w:pStyle w:val="TableHeading"/>
              <w:suppressLineNumbers/>
              <w:shd w:fill="1F3A5F" w:val="clear"/>
              <w:bidi w:val="0"/>
              <w:spacing w:before="0" w:after="283"/>
              <w:jc w:val="center"/>
              <w:rPr/>
            </w:pPr>
            <w:r>
              <w:rPr/>
              <w:t>When it is chosen</w:t>
            </w:r>
          </w:p>
        </w:tc>
        <w:tc>
          <w:tcPr>
            <w:tcW w:w="2435" w:type="dxa"/>
            <w:tcBorders/>
            <w:vAlign w:val="center"/>
          </w:tcPr>
          <w:p>
            <w:pPr>
              <w:pStyle w:val="TableHeading"/>
              <w:suppressLineNumbers/>
              <w:shd w:fill="1F3A5F" w:val="clear"/>
              <w:bidi w:val="0"/>
              <w:spacing w:before="0" w:after="283"/>
              <w:jc w:val="center"/>
              <w:rPr/>
            </w:pPr>
            <w:r>
              <w:rPr/>
              <w:t>Evidence it leaves</w:t>
            </w:r>
          </w:p>
        </w:tc>
      </w:tr>
      <w:tr>
        <w:trPr/>
        <w:tc>
          <w:tcPr>
            <w:tcW w:w="889" w:type="dxa"/>
            <w:tcBorders/>
            <w:vAlign w:val="center"/>
          </w:tcPr>
          <w:p>
            <w:pPr>
              <w:pStyle w:val="TableContents"/>
              <w:bidi w:val="0"/>
              <w:spacing w:before="0" w:after="283"/>
              <w:jc w:val="left"/>
              <w:rPr/>
            </w:pPr>
            <w:r>
              <w:rPr/>
              <w:t>Avoid</w:t>
            </w:r>
          </w:p>
        </w:tc>
        <w:tc>
          <w:tcPr>
            <w:tcW w:w="1824" w:type="dxa"/>
            <w:tcBorders/>
            <w:vAlign w:val="center"/>
          </w:tcPr>
          <w:p>
            <w:pPr>
              <w:pStyle w:val="TableContents"/>
              <w:bidi w:val="0"/>
              <w:spacing w:before="0" w:after="283"/>
              <w:jc w:val="left"/>
              <w:rPr/>
            </w:pPr>
            <w:r>
              <w:rPr/>
              <w:t>The activity creating the risk is not necessary</w:t>
            </w:r>
          </w:p>
        </w:tc>
        <w:tc>
          <w:tcPr>
            <w:tcW w:w="2435" w:type="dxa"/>
            <w:tcBorders/>
            <w:vAlign w:val="center"/>
          </w:tcPr>
          <w:p>
            <w:pPr>
              <w:pStyle w:val="TableContents"/>
              <w:bidi w:val="0"/>
              <w:spacing w:before="0" w:after="283"/>
              <w:jc w:val="left"/>
              <w:rPr/>
            </w:pPr>
            <w:r>
              <w:rPr/>
              <w:t>A commit removing it, and a register entry stating so</w:t>
            </w:r>
          </w:p>
        </w:tc>
      </w:tr>
      <w:tr>
        <w:trPr/>
        <w:tc>
          <w:tcPr>
            <w:tcW w:w="889" w:type="dxa"/>
            <w:tcBorders/>
            <w:vAlign w:val="center"/>
          </w:tcPr>
          <w:p>
            <w:pPr>
              <w:pStyle w:val="TableContents"/>
              <w:bidi w:val="0"/>
              <w:spacing w:before="0" w:after="283"/>
              <w:jc w:val="left"/>
              <w:rPr/>
            </w:pPr>
            <w:r>
              <w:rPr/>
              <w:t>Reduce</w:t>
            </w:r>
          </w:p>
        </w:tc>
        <w:tc>
          <w:tcPr>
            <w:tcW w:w="1824" w:type="dxa"/>
            <w:tcBorders/>
            <w:vAlign w:val="center"/>
          </w:tcPr>
          <w:p>
            <w:pPr>
              <w:pStyle w:val="TableContents"/>
              <w:bidi w:val="0"/>
              <w:spacing w:before="0" w:after="283"/>
              <w:jc w:val="left"/>
              <w:rPr/>
            </w:pPr>
            <w:r>
              <w:rPr/>
              <w:t>A control can be added</w:t>
            </w:r>
          </w:p>
        </w:tc>
        <w:tc>
          <w:tcPr>
            <w:tcW w:w="2435" w:type="dxa"/>
            <w:tcBorders/>
            <w:vAlign w:val="center"/>
          </w:tcPr>
          <w:p>
            <w:pPr>
              <w:pStyle w:val="TableContents"/>
              <w:bidi w:val="0"/>
              <w:spacing w:before="0" w:after="283"/>
              <w:jc w:val="left"/>
              <w:rPr/>
            </w:pPr>
            <w:r>
              <w:rPr/>
              <w:t>Code, configuration or procedure, cited by path in the register</w:t>
            </w:r>
          </w:p>
        </w:tc>
      </w:tr>
      <w:tr>
        <w:trPr/>
        <w:tc>
          <w:tcPr>
            <w:tcW w:w="889" w:type="dxa"/>
            <w:tcBorders/>
            <w:vAlign w:val="center"/>
          </w:tcPr>
          <w:p>
            <w:pPr>
              <w:pStyle w:val="TableContents"/>
              <w:bidi w:val="0"/>
              <w:spacing w:before="0" w:after="283"/>
              <w:jc w:val="left"/>
              <w:rPr/>
            </w:pPr>
            <w:r>
              <w:rPr/>
              <w:t>Transfer / share</w:t>
            </w:r>
          </w:p>
        </w:tc>
        <w:tc>
          <w:tcPr>
            <w:tcW w:w="1824" w:type="dxa"/>
            <w:tcBorders/>
            <w:vAlign w:val="center"/>
          </w:tcPr>
          <w:p>
            <w:pPr>
              <w:pStyle w:val="TableContents"/>
              <w:bidi w:val="0"/>
              <w:spacing w:before="0" w:after="283"/>
              <w:jc w:val="left"/>
              <w:rPr/>
            </w:pPr>
            <w:r>
              <w:rPr/>
              <w:t>The risk properly sits with the customer or a supplier, and they can carry it</w:t>
            </w:r>
          </w:p>
        </w:tc>
        <w:tc>
          <w:tcPr>
            <w:tcW w:w="2435" w:type="dxa"/>
            <w:tcBorders/>
            <w:vAlign w:val="center"/>
          </w:tcPr>
          <w:p>
            <w:pPr>
              <w:pStyle w:val="TableContents"/>
              <w:bidi w:val="0"/>
              <w:spacing w:before="0" w:after="283"/>
              <w:jc w:val="left"/>
              <w:rPr/>
            </w:pPr>
            <w:r>
              <w:rPr/>
              <w:t>A statement in the customer requirements record (</w:t>
            </w:r>
            <w:r>
              <w:rPr>
                <w:rStyle w:val="SourceText"/>
              </w:rPr>
              <w:t>SOP-04</w:t>
            </w:r>
            <w:r>
              <w:rPr/>
              <w:t>) or in deployment documentation</w:t>
            </w:r>
          </w:p>
        </w:tc>
      </w:tr>
      <w:tr>
        <w:trPr/>
        <w:tc>
          <w:tcPr>
            <w:tcW w:w="889" w:type="dxa"/>
            <w:tcBorders/>
            <w:vAlign w:val="center"/>
          </w:tcPr>
          <w:p>
            <w:pPr>
              <w:pStyle w:val="TableContents"/>
              <w:bidi w:val="0"/>
              <w:spacing w:before="0" w:after="283"/>
              <w:jc w:val="left"/>
              <w:rPr/>
            </w:pPr>
            <w:r>
              <w:rPr/>
              <w:t>Accept</w:t>
            </w:r>
          </w:p>
        </w:tc>
        <w:tc>
          <w:tcPr>
            <w:tcW w:w="1824" w:type="dxa"/>
            <w:tcBorders/>
            <w:vAlign w:val="center"/>
          </w:tcPr>
          <w:p>
            <w:pPr>
              <w:pStyle w:val="TableContents"/>
              <w:bidi w:val="0"/>
              <w:spacing w:before="0" w:after="283"/>
              <w:jc w:val="left"/>
              <w:rPr/>
            </w:pPr>
            <w:r>
              <w:rPr/>
              <w:t>Cost of treatment exceeds the exposure</w:t>
            </w:r>
          </w:p>
        </w:tc>
        <w:tc>
          <w:tcPr>
            <w:tcW w:w="2435" w:type="dxa"/>
            <w:tcBorders/>
            <w:vAlign w:val="center"/>
          </w:tcPr>
          <w:p>
            <w:pPr>
              <w:pStyle w:val="TableContents"/>
              <w:bidi w:val="0"/>
              <w:spacing w:before="0" w:after="283"/>
              <w:jc w:val="left"/>
              <w:rPr/>
            </w:pPr>
            <w:r>
              <w:rPr/>
              <w:t>Dated written acceptance by the Managing Director in the register</w:t>
            </w:r>
          </w:p>
        </w:tc>
      </w:tr>
    </w:tbl>
    <w:p>
      <w:pPr>
        <w:pStyle w:val="BodyText"/>
        <w:bidi w:val="0"/>
        <w:jc w:val="left"/>
        <w:rPr/>
      </w:pPr>
      <w:r>
        <w:rPr>
          <w:rStyle w:val="Strong"/>
        </w:rPr>
        <w:t>The treatment must be verifiable.</w:t>
      </w:r>
      <w:r>
        <w:rPr/>
        <w:t xml:space="preserve"> A register entry that says "we are careful about X" is not a treatment. </w:t>
      </w:r>
      <w:r>
        <w:rPr>
          <w:rStyle w:val="SourceText"/>
        </w:rPr>
        <w:t>backend/Dockerfile:32</w:t>
      </w:r>
      <w:r>
        <w:rPr/>
        <w:t xml:space="preserve"> — re-pinning </w:t>
      </w:r>
      <w:r>
        <w:rPr>
          <w:rStyle w:val="SourceText"/>
        </w:rPr>
        <w:t>setuptools&gt;=70,&lt;82</w:t>
      </w:r>
      <w:r>
        <w:rPr/>
        <w:t xml:space="preserve"> as the last install step, with the reason in the comment immediately above it — is a treatment, because an auditor can read the file and see it.</w:t>
      </w:r>
    </w:p>
    <w:p>
      <w:pPr>
        <w:pStyle w:val="BodyText"/>
        <w:bidi w:val="0"/>
        <w:jc w:val="left"/>
        <w:rPr/>
      </w:pPr>
      <w:r>
        <w:rPr/>
        <w:t>Effectiveness of a treatment is evaluated at the next management review (</w:t>
      </w:r>
      <w:r>
        <w:rPr>
          <w:rStyle w:val="SourceText"/>
        </w:rPr>
        <w:t>SOP-15</w:t>
      </w:r>
      <w:r>
        <w:rPr/>
        <w:t xml:space="preserve">) against the question: </w:t>
      </w:r>
      <w:r>
        <w:rPr>
          <w:rStyle w:val="Emphasis"/>
        </w:rPr>
        <w:t>has the risk recurred, and is the evidence cited in the register still true of the code today?</w:t>
      </w:r>
    </w:p>
    <w:p>
      <w:pPr>
        <w:pStyle w:val="Heading2"/>
        <w:bidi w:val="0"/>
        <w:jc w:val="left"/>
        <w:rPr/>
      </w:pPr>
      <w:r>
        <w:rPr/>
        <w:t>9. Planning of changes (6.3)</w:t>
      </w:r>
    </w:p>
    <w:p>
      <w:pPr>
        <w:pStyle w:val="BodyText"/>
        <w:bidi w:val="0"/>
        <w:jc w:val="left"/>
        <w:rPr/>
      </w:pPr>
      <w:r>
        <w:rPr/>
        <w:t>Changes to the QMS, and changes to the product that affect the QMS, are made deliberately and not as a side effect of something else. Before a change is made, the person making it considers and records — in the commit body, which for this organisation is the change record (</w:t>
      </w:r>
      <w:r>
        <w:rPr>
          <w:rStyle w:val="SourceText"/>
        </w:rPr>
        <w:t>SOP-01</w:t>
      </w:r>
      <w:r>
        <w:rPr/>
        <w:t xml:space="preserve"> §3):</w:t>
      </w:r>
    </w:p>
    <w:p>
      <w:pPr>
        <w:pStyle w:val="BodyText"/>
        <w:numPr>
          <w:ilvl w:val="0"/>
          <w:numId w:val="2"/>
        </w:numPr>
        <w:tabs>
          <w:tab w:val="clear" w:pos="1134"/>
          <w:tab w:val="left" w:pos="709" w:leader="none"/>
        </w:tabs>
        <w:bidi w:val="0"/>
        <w:spacing w:before="0" w:after="0"/>
        <w:ind w:hanging="283" w:left="709"/>
        <w:jc w:val="left"/>
        <w:rPr/>
      </w:pPr>
      <w:r>
        <w:rPr/>
        <w:t xml:space="preserve">the purpose of the change and its potential consequences; </w:t>
      </w:r>
    </w:p>
    <w:p>
      <w:pPr>
        <w:pStyle w:val="BodyText"/>
        <w:numPr>
          <w:ilvl w:val="0"/>
          <w:numId w:val="2"/>
        </w:numPr>
        <w:tabs>
          <w:tab w:val="clear" w:pos="1134"/>
          <w:tab w:val="left" w:pos="709" w:leader="none"/>
        </w:tabs>
        <w:bidi w:val="0"/>
        <w:spacing w:before="0" w:after="0"/>
        <w:ind w:hanging="283" w:left="709"/>
        <w:jc w:val="left"/>
        <w:rPr/>
      </w:pPr>
      <w:r>
        <w:rPr/>
        <w:t xml:space="preserve">the integrity of the QMS or of the running system — what else depends on what is being changed; </w:t>
      </w:r>
    </w:p>
    <w:p>
      <w:pPr>
        <w:pStyle w:val="BodyText"/>
        <w:numPr>
          <w:ilvl w:val="0"/>
          <w:numId w:val="2"/>
        </w:numPr>
        <w:tabs>
          <w:tab w:val="clear" w:pos="1134"/>
          <w:tab w:val="left" w:pos="709" w:leader="none"/>
        </w:tabs>
        <w:bidi w:val="0"/>
        <w:spacing w:before="0" w:after="0"/>
        <w:ind w:hanging="283" w:left="709"/>
        <w:jc w:val="left"/>
        <w:rPr/>
      </w:pPr>
      <w:r>
        <w:rPr/>
        <w:t xml:space="preserve">availability of resources to complete the change, including the ability to finish it in one working session where the system would otherwise be left in a partial state; </w:t>
      </w:r>
    </w:p>
    <w:p>
      <w:pPr>
        <w:pStyle w:val="BodyText"/>
        <w:numPr>
          <w:ilvl w:val="0"/>
          <w:numId w:val="2"/>
        </w:numPr>
        <w:tabs>
          <w:tab w:val="clear" w:pos="1134"/>
          <w:tab w:val="left" w:pos="709" w:leader="none"/>
        </w:tabs>
        <w:bidi w:val="0"/>
        <w:ind w:hanging="283" w:left="709"/>
        <w:jc w:val="left"/>
        <w:rPr/>
      </w:pPr>
      <w:r>
        <w:rPr/>
        <w:t xml:space="preserve">allocation or reallocation of responsibilities, where there is more than one person. </w:t>
      </w:r>
    </w:p>
    <w:p>
      <w:pPr>
        <w:pStyle w:val="BodyText"/>
        <w:bidi w:val="0"/>
        <w:jc w:val="left"/>
        <w:rPr/>
      </w:pPr>
      <w:r>
        <w:rPr/>
        <w:t xml:space="preserve">Commit </w:t>
      </w:r>
      <w:r>
        <w:rPr>
          <w:rStyle w:val="SourceText"/>
        </w:rPr>
        <w:t>4e27109</w:t>
      </w:r>
      <w:r>
        <w:rPr/>
        <w:t xml:space="preserve"> is the pattern to follow: it states the defect, the mechanism, the scope of the blast radius (golden eval 50/52 → 42/52 as the corpus grew), the fix, and the post-fix verification (0/359 out-of-namespace hits; golden eval 49/52).</w:t>
      </w:r>
    </w:p>
    <w:p>
      <w:pPr>
        <w:pStyle w:val="BodyText"/>
        <w:bidi w:val="0"/>
        <w:jc w:val="left"/>
        <w:rPr/>
      </w:pPr>
      <w:r>
        <w:rPr/>
        <w:t xml:space="preserve">Changes that alter a design output are additionally controlled under </w:t>
      </w:r>
      <w:r>
        <w:rPr>
          <w:rStyle w:val="SourceText"/>
        </w:rPr>
        <w:t>SOP-05</w:t>
      </w:r>
      <w:r>
        <w:rPr/>
        <w:t xml:space="preserve"> §8.</w:t>
      </w:r>
    </w:p>
    <w:p>
      <w:pPr>
        <w:pStyle w:val="Heading2"/>
        <w:bidi w:val="0"/>
        <w:jc w:val="left"/>
        <w:rPr/>
      </w:pPr>
      <w:r>
        <w:rPr/>
        <w:t>10. Review</w:t>
      </w:r>
    </w:p>
    <w:tbl>
      <w:tblPr>
        <w:tblW w:w="5148" w:type="dxa"/>
        <w:jc w:val="left"/>
        <w:tblInd w:w="0" w:type="dxa"/>
        <w:tblLayout w:type="fixed"/>
        <w:tblCellMar>
          <w:top w:w="28" w:type="dxa"/>
          <w:left w:w="28" w:type="dxa"/>
          <w:bottom w:w="28" w:type="dxa"/>
          <w:right w:w="28" w:type="dxa"/>
        </w:tblCellMar>
      </w:tblPr>
      <w:tblGrid>
        <w:gridCol w:w="2408"/>
        <w:gridCol w:w="2740"/>
      </w:tblGrid>
      <w:tr>
        <w:trPr>
          <w:tblHeader w:val="true"/>
        </w:trPr>
        <w:tc>
          <w:tcPr>
            <w:tcW w:w="2408" w:type="dxa"/>
            <w:tcBorders/>
            <w:vAlign w:val="center"/>
          </w:tcPr>
          <w:p>
            <w:pPr>
              <w:pStyle w:val="TableHeading"/>
              <w:suppressLineNumbers/>
              <w:shd w:fill="1F3A5F" w:val="clear"/>
              <w:bidi w:val="0"/>
              <w:spacing w:before="0" w:after="283"/>
              <w:jc w:val="center"/>
              <w:rPr/>
            </w:pPr>
            <w:r>
              <w:rPr/>
              <w:t>Trigger</w:t>
            </w:r>
          </w:p>
        </w:tc>
        <w:tc>
          <w:tcPr>
            <w:tcW w:w="2740" w:type="dxa"/>
            <w:tcBorders/>
            <w:vAlign w:val="center"/>
          </w:tcPr>
          <w:p>
            <w:pPr>
              <w:pStyle w:val="TableHeading"/>
              <w:suppressLineNumbers/>
              <w:shd w:fill="1F3A5F" w:val="clear"/>
              <w:bidi w:val="0"/>
              <w:spacing w:before="0" w:after="283"/>
              <w:jc w:val="center"/>
              <w:rPr/>
            </w:pPr>
            <w:r>
              <w:rPr/>
              <w:t>What is reviewed</w:t>
            </w:r>
          </w:p>
        </w:tc>
      </w:tr>
      <w:tr>
        <w:trPr/>
        <w:tc>
          <w:tcPr>
            <w:tcW w:w="2408" w:type="dxa"/>
            <w:tcBorders/>
            <w:vAlign w:val="center"/>
          </w:tcPr>
          <w:p>
            <w:pPr>
              <w:pStyle w:val="TableContents"/>
              <w:bidi w:val="0"/>
              <w:spacing w:before="0" w:after="283"/>
              <w:jc w:val="left"/>
              <w:rPr/>
            </w:pPr>
            <w:r>
              <w:rPr/>
              <w:t>Each management review (</w:t>
            </w:r>
            <w:r>
              <w:rPr>
                <w:rStyle w:val="SourceText"/>
              </w:rPr>
              <w:t>SOP-15</w:t>
            </w:r>
            <w:r>
              <w:rPr/>
              <w:t>)</w:t>
            </w:r>
          </w:p>
        </w:tc>
        <w:tc>
          <w:tcPr>
            <w:tcW w:w="2740" w:type="dxa"/>
            <w:tcBorders/>
            <w:vAlign w:val="center"/>
          </w:tcPr>
          <w:p>
            <w:pPr>
              <w:pStyle w:val="TableContents"/>
              <w:bidi w:val="0"/>
              <w:spacing w:before="0" w:after="283"/>
              <w:jc w:val="left"/>
              <w:rPr/>
            </w:pPr>
            <w:r>
              <w:rPr/>
              <w:t>Context (§4), interested parties (§5), the whole risk register, and the effectiveness of treatments</w:t>
            </w:r>
          </w:p>
        </w:tc>
      </w:tr>
      <w:tr>
        <w:trPr/>
        <w:tc>
          <w:tcPr>
            <w:tcW w:w="2408" w:type="dxa"/>
            <w:tcBorders/>
            <w:vAlign w:val="center"/>
          </w:tcPr>
          <w:p>
            <w:pPr>
              <w:pStyle w:val="TableContents"/>
              <w:bidi w:val="0"/>
              <w:spacing w:before="0" w:after="283"/>
              <w:jc w:val="left"/>
              <w:rPr/>
            </w:pPr>
            <w:r>
              <w:rPr/>
              <w:t>Any incident or nonconformity (</w:t>
            </w:r>
            <w:r>
              <w:rPr>
                <w:rStyle w:val="SourceText"/>
              </w:rPr>
              <w:t>SOP-14</w:t>
            </w:r>
            <w:r>
              <w:rPr/>
              <w:t>)</w:t>
            </w:r>
          </w:p>
        </w:tc>
        <w:tc>
          <w:tcPr>
            <w:tcW w:w="2740" w:type="dxa"/>
            <w:tcBorders/>
            <w:vAlign w:val="center"/>
          </w:tcPr>
          <w:p>
            <w:pPr>
              <w:pStyle w:val="TableContents"/>
              <w:bidi w:val="0"/>
              <w:spacing w:before="0" w:after="283"/>
              <w:jc w:val="left"/>
              <w:rPr/>
            </w:pPr>
            <w:r>
              <w:rPr/>
              <w:t>Whether the risk was in the register; if not, why it was not identified</w:t>
            </w:r>
          </w:p>
        </w:tc>
      </w:tr>
      <w:tr>
        <w:trPr/>
        <w:tc>
          <w:tcPr>
            <w:tcW w:w="2408" w:type="dxa"/>
            <w:tcBorders/>
            <w:vAlign w:val="center"/>
          </w:tcPr>
          <w:p>
            <w:pPr>
              <w:pStyle w:val="TableContents"/>
              <w:bidi w:val="0"/>
              <w:spacing w:before="0" w:after="283"/>
              <w:jc w:val="left"/>
              <w:rPr/>
            </w:pPr>
            <w:r>
              <w:rPr/>
              <w:t>Any new customer sector, new deployment model or new hardware platform</w:t>
            </w:r>
          </w:p>
        </w:tc>
        <w:tc>
          <w:tcPr>
            <w:tcW w:w="2740" w:type="dxa"/>
            <w:tcBorders/>
            <w:vAlign w:val="center"/>
          </w:tcPr>
          <w:p>
            <w:pPr>
              <w:pStyle w:val="TableContents"/>
              <w:bidi w:val="0"/>
              <w:spacing w:before="0" w:after="283"/>
              <w:jc w:val="left"/>
              <w:rPr/>
            </w:pPr>
            <w:r>
              <w:rPr/>
              <w:t>Context and interested parties, before commitment</w:t>
            </w:r>
          </w:p>
        </w:tc>
      </w:tr>
      <w:tr>
        <w:trPr/>
        <w:tc>
          <w:tcPr>
            <w:tcW w:w="2408" w:type="dxa"/>
            <w:tcBorders/>
            <w:vAlign w:val="center"/>
          </w:tcPr>
          <w:p>
            <w:pPr>
              <w:pStyle w:val="TableContents"/>
              <w:bidi w:val="0"/>
              <w:spacing w:before="0" w:after="283"/>
              <w:jc w:val="left"/>
              <w:rPr/>
            </w:pPr>
            <w:r>
              <w:rPr/>
              <w:t>Any release</w:t>
            </w:r>
          </w:p>
        </w:tc>
        <w:tc>
          <w:tcPr>
            <w:tcW w:w="2740" w:type="dxa"/>
            <w:tcBorders/>
            <w:vAlign w:val="center"/>
          </w:tcPr>
          <w:p>
            <w:pPr>
              <w:pStyle w:val="TableContents"/>
              <w:bidi w:val="0"/>
              <w:spacing w:before="0" w:after="283"/>
              <w:jc w:val="left"/>
              <w:rPr/>
            </w:pPr>
            <w:r>
              <w:rPr/>
              <w:t>Risks scored High or Critical that touch the released area</w:t>
            </w:r>
          </w:p>
        </w:tc>
      </w:tr>
    </w:tbl>
    <w:p>
      <w:pPr>
        <w:pStyle w:val="Heading2"/>
        <w:bidi w:val="0"/>
        <w:jc w:val="left"/>
        <w:rPr/>
      </w:pPr>
      <w:r>
        <w:rPr/>
        <w:t>11. Records</w:t>
      </w:r>
    </w:p>
    <w:tbl>
      <w:tblPr>
        <w:tblW w:w="5148" w:type="dxa"/>
        <w:jc w:val="left"/>
        <w:tblInd w:w="0" w:type="dxa"/>
        <w:tblLayout w:type="fixed"/>
        <w:tblCellMar>
          <w:top w:w="28" w:type="dxa"/>
          <w:left w:w="28" w:type="dxa"/>
          <w:bottom w:w="28" w:type="dxa"/>
          <w:right w:w="28" w:type="dxa"/>
        </w:tblCellMar>
      </w:tblPr>
      <w:tblGrid>
        <w:gridCol w:w="1744"/>
        <w:gridCol w:w="2100"/>
        <w:gridCol w:w="1304"/>
      </w:tblGrid>
      <w:tr>
        <w:trPr>
          <w:tblHeader w:val="true"/>
        </w:trPr>
        <w:tc>
          <w:tcPr>
            <w:tcW w:w="1744" w:type="dxa"/>
            <w:tcBorders/>
            <w:vAlign w:val="center"/>
          </w:tcPr>
          <w:p>
            <w:pPr>
              <w:pStyle w:val="TableHeading"/>
              <w:suppressLineNumbers/>
              <w:shd w:fill="1F3A5F" w:val="clear"/>
              <w:bidi w:val="0"/>
              <w:spacing w:before="0" w:after="283"/>
              <w:jc w:val="center"/>
              <w:rPr/>
            </w:pPr>
            <w:r>
              <w:rPr/>
              <w:t>Record</w:t>
            </w:r>
          </w:p>
        </w:tc>
        <w:tc>
          <w:tcPr>
            <w:tcW w:w="2100" w:type="dxa"/>
            <w:tcBorders/>
            <w:vAlign w:val="center"/>
          </w:tcPr>
          <w:p>
            <w:pPr>
              <w:pStyle w:val="TableHeading"/>
              <w:suppressLineNumbers/>
              <w:shd w:fill="1F3A5F" w:val="clear"/>
              <w:bidi w:val="0"/>
              <w:spacing w:before="0" w:after="283"/>
              <w:jc w:val="center"/>
              <w:rPr/>
            </w:pPr>
            <w:r>
              <w:rPr/>
              <w:t>Location</w:t>
            </w:r>
          </w:p>
        </w:tc>
        <w:tc>
          <w:tcPr>
            <w:tcW w:w="1304" w:type="dxa"/>
            <w:tcBorders/>
            <w:vAlign w:val="center"/>
          </w:tcPr>
          <w:p>
            <w:pPr>
              <w:pStyle w:val="TableHeading"/>
              <w:suppressLineNumbers/>
              <w:shd w:fill="1F3A5F" w:val="clear"/>
              <w:bidi w:val="0"/>
              <w:spacing w:before="0" w:after="283"/>
              <w:jc w:val="center"/>
              <w:rPr/>
            </w:pPr>
            <w:r>
              <w:rPr/>
              <w:t>Retention</w:t>
            </w:r>
          </w:p>
        </w:tc>
      </w:tr>
      <w:tr>
        <w:trPr/>
        <w:tc>
          <w:tcPr>
            <w:tcW w:w="1744" w:type="dxa"/>
            <w:tcBorders/>
            <w:vAlign w:val="center"/>
          </w:tcPr>
          <w:p>
            <w:pPr>
              <w:pStyle w:val="TableContents"/>
              <w:bidi w:val="0"/>
              <w:spacing w:before="0" w:after="283"/>
              <w:jc w:val="left"/>
              <w:rPr/>
            </w:pPr>
            <w:r>
              <w:rPr/>
              <w:t>Risk and opportunity register</w:t>
            </w:r>
          </w:p>
        </w:tc>
        <w:tc>
          <w:tcPr>
            <w:tcW w:w="2100" w:type="dxa"/>
            <w:tcBorders/>
            <w:vAlign w:val="center"/>
          </w:tcPr>
          <w:p>
            <w:pPr>
              <w:pStyle w:val="TableContents"/>
              <w:bidi w:val="0"/>
              <w:spacing w:before="0" w:after="283"/>
              <w:jc w:val="left"/>
              <w:rPr/>
            </w:pPr>
            <w:r>
              <w:rPr>
                <w:rStyle w:val="SourceText"/>
              </w:rPr>
              <w:t>registers/REG-03_Risk_Register.md</w:t>
            </w:r>
          </w:p>
        </w:tc>
        <w:tc>
          <w:tcPr>
            <w:tcW w:w="1304" w:type="dxa"/>
            <w:tcBorders/>
            <w:vAlign w:val="center"/>
          </w:tcPr>
          <w:p>
            <w:pPr>
              <w:pStyle w:val="TableContents"/>
              <w:bidi w:val="0"/>
              <w:spacing w:before="0" w:after="283"/>
              <w:jc w:val="left"/>
              <w:rPr/>
            </w:pPr>
            <w:r>
              <w:rPr/>
              <w:t>Life of the QMS + 3 years (SOP-01 §8)</w:t>
            </w:r>
          </w:p>
        </w:tc>
      </w:tr>
      <w:tr>
        <w:trPr/>
        <w:tc>
          <w:tcPr>
            <w:tcW w:w="1744" w:type="dxa"/>
            <w:tcBorders/>
            <w:vAlign w:val="center"/>
          </w:tcPr>
          <w:p>
            <w:pPr>
              <w:pStyle w:val="TableContents"/>
              <w:bidi w:val="0"/>
              <w:spacing w:before="0" w:after="283"/>
              <w:jc w:val="left"/>
              <w:rPr/>
            </w:pPr>
            <w:r>
              <w:rPr/>
              <w:t>Context and interested-party determination</w:t>
            </w:r>
          </w:p>
        </w:tc>
        <w:tc>
          <w:tcPr>
            <w:tcW w:w="2100" w:type="dxa"/>
            <w:tcBorders/>
            <w:vAlign w:val="center"/>
          </w:tcPr>
          <w:p>
            <w:pPr>
              <w:pStyle w:val="TableContents"/>
              <w:bidi w:val="0"/>
              <w:spacing w:before="0" w:after="283"/>
              <w:jc w:val="left"/>
              <w:rPr/>
            </w:pPr>
            <w:r>
              <w:rPr/>
              <w:t>§4 and §5 of this document; revision history in Git</w:t>
            </w:r>
          </w:p>
        </w:tc>
        <w:tc>
          <w:tcPr>
            <w:tcW w:w="1304" w:type="dxa"/>
            <w:tcBorders/>
            <w:vAlign w:val="center"/>
          </w:tcPr>
          <w:p>
            <w:pPr>
              <w:pStyle w:val="TableContents"/>
              <w:bidi w:val="0"/>
              <w:spacing w:before="0" w:after="283"/>
              <w:jc w:val="left"/>
              <w:rPr/>
            </w:pPr>
            <w:r>
              <w:rPr/>
              <w:t>As above</w:t>
            </w:r>
          </w:p>
        </w:tc>
      </w:tr>
      <w:tr>
        <w:trPr/>
        <w:tc>
          <w:tcPr>
            <w:tcW w:w="1744" w:type="dxa"/>
            <w:tcBorders/>
            <w:vAlign w:val="center"/>
          </w:tcPr>
          <w:p>
            <w:pPr>
              <w:pStyle w:val="TableContents"/>
              <w:bidi w:val="0"/>
              <w:spacing w:before="0" w:after="283"/>
              <w:jc w:val="left"/>
              <w:rPr/>
            </w:pPr>
            <w:r>
              <w:rPr/>
              <w:t>Written acceptance of a residual risk</w:t>
            </w:r>
          </w:p>
        </w:tc>
        <w:tc>
          <w:tcPr>
            <w:tcW w:w="2100" w:type="dxa"/>
            <w:tcBorders/>
            <w:vAlign w:val="center"/>
          </w:tcPr>
          <w:p>
            <w:pPr>
              <w:pStyle w:val="TableContents"/>
              <w:bidi w:val="0"/>
              <w:spacing w:before="0" w:after="283"/>
              <w:jc w:val="left"/>
              <w:rPr/>
            </w:pPr>
            <w:r>
              <w:rPr>
                <w:rStyle w:val="SourceText"/>
              </w:rPr>
              <w:t>registers/REG-03_Risk_Register.md</w:t>
            </w:r>
            <w:r>
              <w:rPr/>
              <w:t>, with the approver's name and date</w:t>
            </w:r>
          </w:p>
        </w:tc>
        <w:tc>
          <w:tcPr>
            <w:tcW w:w="1304" w:type="dxa"/>
            <w:tcBorders/>
            <w:vAlign w:val="center"/>
          </w:tcPr>
          <w:p>
            <w:pPr>
              <w:pStyle w:val="TableContents"/>
              <w:bidi w:val="0"/>
              <w:spacing w:before="0" w:after="283"/>
              <w:jc w:val="left"/>
              <w:rPr/>
            </w:pPr>
            <w:r>
              <w:rPr/>
              <w:t>As above</w:t>
            </w:r>
          </w:p>
        </w:tc>
      </w:tr>
      <w:tr>
        <w:trPr/>
        <w:tc>
          <w:tcPr>
            <w:tcW w:w="1744" w:type="dxa"/>
            <w:tcBorders/>
            <w:vAlign w:val="center"/>
          </w:tcPr>
          <w:p>
            <w:pPr>
              <w:pStyle w:val="TableContents"/>
              <w:bidi w:val="0"/>
              <w:spacing w:before="0" w:after="283"/>
              <w:jc w:val="left"/>
              <w:rPr/>
            </w:pPr>
            <w:r>
              <w:rPr/>
              <w:t>Review of context, parties and risk</w:t>
            </w:r>
          </w:p>
        </w:tc>
        <w:tc>
          <w:tcPr>
            <w:tcW w:w="2100" w:type="dxa"/>
            <w:tcBorders/>
            <w:vAlign w:val="center"/>
          </w:tcPr>
          <w:p>
            <w:pPr>
              <w:pStyle w:val="TableContents"/>
              <w:bidi w:val="0"/>
              <w:spacing w:before="0" w:after="283"/>
              <w:jc w:val="left"/>
              <w:rPr/>
            </w:pPr>
            <w:r>
              <w:rPr/>
              <w:t xml:space="preserve">Management review minutes under </w:t>
            </w:r>
            <w:r>
              <w:rPr>
                <w:rStyle w:val="SourceText"/>
              </w:rPr>
              <w:t>SOP-15</w:t>
            </w:r>
          </w:p>
        </w:tc>
        <w:tc>
          <w:tcPr>
            <w:tcW w:w="1304" w:type="dxa"/>
            <w:tcBorders/>
            <w:vAlign w:val="center"/>
          </w:tcPr>
          <w:p>
            <w:pPr>
              <w:pStyle w:val="TableContents"/>
              <w:bidi w:val="0"/>
              <w:spacing w:before="0" w:after="283"/>
              <w:jc w:val="left"/>
              <w:rPr/>
            </w:pPr>
            <w:r>
              <w:rPr/>
              <w:t>3 years (SOP-01 §8)</w:t>
            </w:r>
          </w:p>
        </w:tc>
      </w:tr>
      <w:tr>
        <w:trPr/>
        <w:tc>
          <w:tcPr>
            <w:tcW w:w="1744" w:type="dxa"/>
            <w:tcBorders/>
            <w:vAlign w:val="center"/>
          </w:tcPr>
          <w:p>
            <w:pPr>
              <w:pStyle w:val="TableContents"/>
              <w:bidi w:val="0"/>
              <w:spacing w:before="0" w:after="283"/>
              <w:jc w:val="left"/>
              <w:rPr/>
            </w:pPr>
            <w:r>
              <w:rPr/>
              <w:t>Technical rationale and verification for a change</w:t>
            </w:r>
          </w:p>
        </w:tc>
        <w:tc>
          <w:tcPr>
            <w:tcW w:w="2100" w:type="dxa"/>
            <w:tcBorders/>
            <w:vAlign w:val="center"/>
          </w:tcPr>
          <w:p>
            <w:pPr>
              <w:pStyle w:val="TableContents"/>
              <w:bidi w:val="0"/>
              <w:spacing w:before="0" w:after="283"/>
              <w:jc w:val="left"/>
              <w:rPr/>
            </w:pPr>
            <w:r>
              <w:rPr/>
              <w:t>Git commit body (</w:t>
            </w:r>
            <w:r>
              <w:rPr>
                <w:rStyle w:val="SourceText"/>
              </w:rPr>
              <w:t>git log</w:t>
            </w:r>
            <w:r>
              <w:rPr/>
              <w:t>)</w:t>
            </w:r>
          </w:p>
        </w:tc>
        <w:tc>
          <w:tcPr>
            <w:tcW w:w="1304" w:type="dxa"/>
            <w:tcBorders/>
            <w:vAlign w:val="center"/>
          </w:tcPr>
          <w:p>
            <w:pPr>
              <w:pStyle w:val="TableContents"/>
              <w:bidi w:val="0"/>
              <w:spacing w:before="0" w:after="283"/>
              <w:jc w:val="left"/>
              <w:rPr/>
            </w:pPr>
            <w:r>
              <w:rPr/>
              <w:t>Per SOP-01 §8</w:t>
            </w:r>
          </w:p>
        </w:tc>
      </w:tr>
    </w:tbl>
    <w:p>
      <w:pPr>
        <w:pStyle w:val="Heading2"/>
        <w:bidi w:val="0"/>
        <w:jc w:val="left"/>
        <w:rPr/>
      </w:pPr>
      <w:r>
        <w:rPr/>
        <w:t>12. Current state and gaps</w:t>
      </w:r>
    </w:p>
    <w:p>
      <w:pPr>
        <w:pStyle w:val="BodyText"/>
        <w:bidi w:val="0"/>
        <w:jc w:val="left"/>
        <w:rPr/>
      </w:pPr>
      <w:r>
        <w:rPr>
          <w:rStyle w:val="Strong"/>
        </w:rPr>
        <w:t>Stated plainly: risk management at Ajace AI has been practised informally and is genuinely evidenced — but no risk register existed before this QMS.</w:t>
      </w:r>
      <w:r>
        <w:rPr/>
        <w:t xml:space="preserve"> The evidence of practice is real: the inline rationale at </w:t>
      </w:r>
      <w:r>
        <w:rPr>
          <w:rStyle w:val="SourceText"/>
        </w:rPr>
        <w:t>docker-compose.yml:7-11</w:t>
      </w:r>
      <w:r>
        <w:rPr/>
        <w:t xml:space="preserve">, </w:t>
      </w:r>
      <w:r>
        <w:rPr>
          <w:rStyle w:val="SourceText"/>
        </w:rPr>
        <w:t>41-44</w:t>
      </w:r>
      <w:r>
        <w:rPr/>
        <w:t xml:space="preserve">, </w:t>
      </w:r>
      <w:r>
        <w:rPr>
          <w:rStyle w:val="SourceText"/>
        </w:rPr>
        <w:t>69-72</w:t>
      </w:r>
      <w:r>
        <w:rPr/>
        <w:t xml:space="preserve"> and </w:t>
      </w:r>
      <w:r>
        <w:rPr>
          <w:rStyle w:val="SourceText"/>
        </w:rPr>
        <w:t>108-112</w:t>
      </w:r>
      <w:r>
        <w:rPr/>
        <w:t xml:space="preserve"> records what was tried, what failed, how the failure presented and how the fix was verified; </w:t>
      </w:r>
      <w:r>
        <w:rPr>
          <w:rStyle w:val="SourceText"/>
        </w:rPr>
        <w:t>backend/Dockerfile:30-32</w:t>
      </w:r>
      <w:r>
        <w:rPr/>
        <w:t xml:space="preserve"> records a dependency risk and its mitigation next to the mitigation itself; </w:t>
      </w:r>
      <w:r>
        <w:rPr>
          <w:rStyle w:val="SourceText"/>
        </w:rPr>
        <w:t>eval/paper/results/SUMMARY.json</w:t>
      </w:r>
      <w:r>
        <w:rPr/>
        <w:t xml:space="preserve"> records where measurement contradicted an assumption rather than hiding it. What was missing was a single place where those risks are listed, scored, owned and reviewed. </w:t>
      </w:r>
      <w:r>
        <w:rPr>
          <w:rStyle w:val="SourceText"/>
        </w:rPr>
        <w:t>registers/REG-03_Risk_Register.md</w:t>
      </w:r>
      <w:r>
        <w:rPr/>
        <w:t xml:space="preserve"> is seeded from exactly this documented evidence and from nothing else.</w:t>
      </w:r>
    </w:p>
    <w:tbl>
      <w:tblPr>
        <w:tblW w:w="5148" w:type="dxa"/>
        <w:jc w:val="left"/>
        <w:tblInd w:w="0" w:type="dxa"/>
        <w:tblLayout w:type="fixed"/>
        <w:tblCellMar>
          <w:top w:w="28" w:type="dxa"/>
          <w:left w:w="28" w:type="dxa"/>
          <w:bottom w:w="28" w:type="dxa"/>
          <w:right w:w="28" w:type="dxa"/>
        </w:tblCellMar>
      </w:tblPr>
      <w:tblGrid>
        <w:gridCol w:w="1428"/>
        <w:gridCol w:w="2170"/>
        <w:gridCol w:w="1550"/>
      </w:tblGrid>
      <w:tr>
        <w:trPr>
          <w:tblHeader w:val="true"/>
        </w:trPr>
        <w:tc>
          <w:tcPr>
            <w:tcW w:w="1428" w:type="dxa"/>
            <w:tcBorders/>
            <w:vAlign w:val="center"/>
          </w:tcPr>
          <w:p>
            <w:pPr>
              <w:pStyle w:val="TableHeading"/>
              <w:suppressLineNumbers/>
              <w:shd w:fill="1F3A5F" w:val="clear"/>
              <w:bidi w:val="0"/>
              <w:spacing w:before="0" w:after="283"/>
              <w:jc w:val="center"/>
              <w:rPr/>
            </w:pPr>
            <w:r>
              <w:rPr/>
              <w:t>Gap</w:t>
            </w:r>
          </w:p>
        </w:tc>
        <w:tc>
          <w:tcPr>
            <w:tcW w:w="2170" w:type="dxa"/>
            <w:tcBorders/>
            <w:vAlign w:val="center"/>
          </w:tcPr>
          <w:p>
            <w:pPr>
              <w:pStyle w:val="TableHeading"/>
              <w:suppressLineNumbers/>
              <w:shd w:fill="1F3A5F" w:val="clear"/>
              <w:bidi w:val="0"/>
              <w:spacing w:before="0" w:after="283"/>
              <w:jc w:val="center"/>
              <w:rPr/>
            </w:pPr>
            <w:r>
              <w:rPr/>
              <w:t>Current state</w:t>
            </w:r>
          </w:p>
        </w:tc>
        <w:tc>
          <w:tcPr>
            <w:tcW w:w="1550" w:type="dxa"/>
            <w:tcBorders/>
            <w:vAlign w:val="center"/>
          </w:tcPr>
          <w:p>
            <w:pPr>
              <w:pStyle w:val="TableHeading"/>
              <w:suppressLineNumbers/>
              <w:shd w:fill="1F3A5F" w:val="clear"/>
              <w:bidi w:val="0"/>
              <w:spacing w:before="0" w:after="283"/>
              <w:jc w:val="center"/>
              <w:rPr/>
            </w:pPr>
            <w:r>
              <w:rPr/>
              <w:t>Consequence</w:t>
            </w:r>
          </w:p>
        </w:tc>
      </w:tr>
      <w:tr>
        <w:trPr/>
        <w:tc>
          <w:tcPr>
            <w:tcW w:w="1428" w:type="dxa"/>
            <w:tcBorders/>
            <w:vAlign w:val="center"/>
          </w:tcPr>
          <w:p>
            <w:pPr>
              <w:pStyle w:val="TableContents"/>
              <w:bidi w:val="0"/>
              <w:spacing w:before="0" w:after="283"/>
              <w:jc w:val="left"/>
              <w:rPr/>
            </w:pPr>
            <w:r>
              <w:rPr/>
              <w:t>No risk register before this QMS</w:t>
            </w:r>
          </w:p>
        </w:tc>
        <w:tc>
          <w:tcPr>
            <w:tcW w:w="2170" w:type="dxa"/>
            <w:tcBorders/>
            <w:vAlign w:val="center"/>
          </w:tcPr>
          <w:p>
            <w:pPr>
              <w:pStyle w:val="TableContents"/>
              <w:bidi w:val="0"/>
              <w:spacing w:before="0" w:after="283"/>
              <w:jc w:val="left"/>
              <w:rPr/>
            </w:pPr>
            <w:r>
              <w:rPr>
                <w:rStyle w:val="SourceText"/>
              </w:rPr>
              <w:t>registers/</w:t>
            </w:r>
            <w:r>
              <w:rPr/>
              <w:t xml:space="preserve"> contained no register at the time of writing</w:t>
            </w:r>
          </w:p>
        </w:tc>
        <w:tc>
          <w:tcPr>
            <w:tcW w:w="1550" w:type="dxa"/>
            <w:tcBorders/>
            <w:vAlign w:val="center"/>
          </w:tcPr>
          <w:p>
            <w:pPr>
              <w:pStyle w:val="TableContents"/>
              <w:bidi w:val="0"/>
              <w:spacing w:before="0" w:after="283"/>
              <w:jc w:val="left"/>
              <w:rPr/>
            </w:pPr>
            <w:r>
              <w:rPr/>
              <w:t>Risks were treated but never aggregated, scored or reviewed as a set</w:t>
            </w:r>
          </w:p>
        </w:tc>
      </w:tr>
      <w:tr>
        <w:trPr/>
        <w:tc>
          <w:tcPr>
            <w:tcW w:w="1428" w:type="dxa"/>
            <w:tcBorders/>
            <w:vAlign w:val="center"/>
          </w:tcPr>
          <w:p>
            <w:pPr>
              <w:pStyle w:val="TableContents"/>
              <w:bidi w:val="0"/>
              <w:spacing w:before="0" w:after="283"/>
              <w:jc w:val="left"/>
              <w:rPr/>
            </w:pPr>
            <w:r>
              <w:rPr/>
              <w:t>No documented context or interested-party determination before this QMS</w:t>
            </w:r>
          </w:p>
        </w:tc>
        <w:tc>
          <w:tcPr>
            <w:tcW w:w="2170" w:type="dxa"/>
            <w:tcBorders/>
            <w:vAlign w:val="center"/>
          </w:tcPr>
          <w:p>
            <w:pPr>
              <w:pStyle w:val="TableContents"/>
              <w:bidi w:val="0"/>
              <w:spacing w:before="0" w:after="283"/>
              <w:jc w:val="left"/>
              <w:rPr/>
            </w:pPr>
            <w:r>
              <w:rPr/>
              <w:t>§4 and §5 are the first written determination</w:t>
            </w:r>
          </w:p>
        </w:tc>
        <w:tc>
          <w:tcPr>
            <w:tcW w:w="1550" w:type="dxa"/>
            <w:tcBorders/>
            <w:vAlign w:val="center"/>
          </w:tcPr>
          <w:p>
            <w:pPr>
              <w:pStyle w:val="TableContents"/>
              <w:bidi w:val="0"/>
              <w:spacing w:before="0" w:after="283"/>
              <w:jc w:val="left"/>
              <w:rPr/>
            </w:pPr>
            <w:r>
              <w:rPr/>
              <w:t>Requirements of interested parties were understood but not traceable</w:t>
            </w:r>
          </w:p>
        </w:tc>
      </w:tr>
      <w:tr>
        <w:trPr/>
        <w:tc>
          <w:tcPr>
            <w:tcW w:w="1428" w:type="dxa"/>
            <w:tcBorders/>
            <w:vAlign w:val="center"/>
          </w:tcPr>
          <w:p>
            <w:pPr>
              <w:pStyle w:val="TableContents"/>
              <w:bidi w:val="0"/>
              <w:spacing w:before="0" w:after="283"/>
              <w:jc w:val="left"/>
              <w:rPr/>
            </w:pPr>
            <w:r>
              <w:rPr/>
              <w:t>No management review has yet taken place</w:t>
            </w:r>
          </w:p>
        </w:tc>
        <w:tc>
          <w:tcPr>
            <w:tcW w:w="2170" w:type="dxa"/>
            <w:tcBorders/>
            <w:vAlign w:val="center"/>
          </w:tcPr>
          <w:p>
            <w:pPr>
              <w:pStyle w:val="TableContents"/>
              <w:bidi w:val="0"/>
              <w:spacing w:before="0" w:after="283"/>
              <w:jc w:val="left"/>
              <w:rPr/>
            </w:pPr>
            <w:r>
              <w:rPr>
                <w:rStyle w:val="SourceText"/>
              </w:rPr>
              <w:t>SOP-15</w:t>
            </w:r>
            <w:r>
              <w:rPr/>
              <w:t xml:space="preserve"> is drafted; no minutes exist</w:t>
            </w:r>
          </w:p>
        </w:tc>
        <w:tc>
          <w:tcPr>
            <w:tcW w:w="1550" w:type="dxa"/>
            <w:tcBorders/>
            <w:vAlign w:val="center"/>
          </w:tcPr>
          <w:p>
            <w:pPr>
              <w:pStyle w:val="TableContents"/>
              <w:bidi w:val="0"/>
              <w:spacing w:before="0" w:after="283"/>
              <w:jc w:val="left"/>
              <w:rPr/>
            </w:pPr>
            <w:r>
              <w:rPr/>
              <w:t>No review cycle has run; the register has never been formally reviewed</w:t>
            </w:r>
          </w:p>
        </w:tc>
      </w:tr>
      <w:tr>
        <w:trPr/>
        <w:tc>
          <w:tcPr>
            <w:tcW w:w="1428" w:type="dxa"/>
            <w:tcBorders/>
            <w:vAlign w:val="center"/>
          </w:tcPr>
          <w:p>
            <w:pPr>
              <w:pStyle w:val="TableContents"/>
              <w:bidi w:val="0"/>
              <w:spacing w:before="0" w:after="283"/>
              <w:jc w:val="left"/>
              <w:rPr/>
            </w:pPr>
            <w:r>
              <w:rPr/>
              <w:t>No backup of the only volume holding customer data</w:t>
            </w:r>
          </w:p>
        </w:tc>
        <w:tc>
          <w:tcPr>
            <w:tcW w:w="2170" w:type="dxa"/>
            <w:tcBorders/>
            <w:vAlign w:val="center"/>
          </w:tcPr>
          <w:p>
            <w:pPr>
              <w:pStyle w:val="TableContents"/>
              <w:bidi w:val="0"/>
              <w:spacing w:before="0" w:after="283"/>
              <w:jc w:val="left"/>
              <w:rPr/>
            </w:pPr>
            <w:r>
              <w:rPr>
                <w:rStyle w:val="SourceText"/>
              </w:rPr>
              <w:t>docker-compose.yml:101-102</w:t>
            </w:r>
            <w:r>
              <w:rPr/>
              <w:t xml:space="preserve"> mounts volume </w:t>
            </w:r>
            <w:r>
              <w:rPr>
                <w:rStyle w:val="SourceText"/>
              </w:rPr>
              <w:t>echomind_data</w:t>
            </w:r>
            <w:r>
              <w:rPr/>
              <w:t xml:space="preserve"> at </w:t>
            </w:r>
            <w:r>
              <w:rPr>
                <w:rStyle w:val="SourceText"/>
              </w:rPr>
              <w:t>/data</w:t>
            </w:r>
            <w:r>
              <w:rPr/>
              <w:t xml:space="preserve">; </w:t>
            </w:r>
            <w:r>
              <w:rPr>
                <w:rStyle w:val="SourceText"/>
              </w:rPr>
              <w:t>scripts/export_offline_bundle.sh</w:t>
            </w:r>
            <w:r>
              <w:rPr/>
              <w:t xml:space="preserve"> exports the Ollama and TensorRT-LLM model-cache volumes only and does not reference </w:t>
            </w:r>
            <w:r>
              <w:rPr>
                <w:rStyle w:val="SourceText"/>
              </w:rPr>
              <w:t>echomind_data</w:t>
            </w:r>
            <w:r>
              <w:rPr/>
              <w:t xml:space="preserve">; no other script in </w:t>
            </w:r>
            <w:r>
              <w:rPr>
                <w:rStyle w:val="SourceText"/>
              </w:rPr>
              <w:t>scripts/</w:t>
            </w:r>
            <w:r>
              <w:rPr/>
              <w:t xml:space="preserve"> backs it up</w:t>
            </w:r>
          </w:p>
        </w:tc>
        <w:tc>
          <w:tcPr>
            <w:tcW w:w="1550" w:type="dxa"/>
            <w:tcBorders/>
            <w:vAlign w:val="center"/>
          </w:tcPr>
          <w:p>
            <w:pPr>
              <w:pStyle w:val="TableContents"/>
              <w:bidi w:val="0"/>
              <w:spacing w:before="0" w:after="283"/>
              <w:jc w:val="left"/>
              <w:rPr/>
            </w:pPr>
            <w:r>
              <w:rPr/>
              <w:t>Total, unrecoverable loss of customer data on volume loss. Impact 5.</w:t>
            </w:r>
          </w:p>
        </w:tc>
      </w:tr>
      <w:tr>
        <w:trPr/>
        <w:tc>
          <w:tcPr>
            <w:tcW w:w="1428" w:type="dxa"/>
            <w:tcBorders/>
            <w:vAlign w:val="center"/>
          </w:tcPr>
          <w:p>
            <w:pPr>
              <w:pStyle w:val="TableContents"/>
              <w:bidi w:val="0"/>
              <w:spacing w:before="0" w:after="283"/>
              <w:jc w:val="left"/>
              <w:rPr/>
            </w:pPr>
            <w:r>
              <w:rPr/>
              <w:t>Application authentication is off by default and does not cover WebSockets</w:t>
            </w:r>
          </w:p>
        </w:tc>
        <w:tc>
          <w:tcPr>
            <w:tcW w:w="2170" w:type="dxa"/>
            <w:tcBorders/>
            <w:vAlign w:val="center"/>
          </w:tcPr>
          <w:p>
            <w:pPr>
              <w:pStyle w:val="TableContents"/>
              <w:bidi w:val="0"/>
              <w:spacing w:before="0" w:after="283"/>
              <w:jc w:val="left"/>
              <w:rPr/>
            </w:pPr>
            <w:r>
              <w:rPr>
                <w:rStyle w:val="SourceText"/>
              </w:rPr>
              <w:t>backend/app/core/config.py:230</w:t>
            </w:r>
            <w:r>
              <w:rPr/>
              <w:t xml:space="preserve"> (</w:t>
            </w:r>
            <w:r>
              <w:rPr>
                <w:rStyle w:val="SourceText"/>
              </w:rPr>
              <w:t>AUTH_ENABLED</w:t>
            </w:r>
            <w:r>
              <w:rPr/>
              <w:t xml:space="preserve"> default </w:t>
            </w:r>
            <w:r>
              <w:rPr>
                <w:rStyle w:val="SourceText"/>
              </w:rPr>
              <w:t>0</w:t>
            </w:r>
            <w:r>
              <w:rPr/>
              <w:t xml:space="preserve">), </w:t>
            </w:r>
            <w:r>
              <w:rPr>
                <w:rStyle w:val="SourceText"/>
              </w:rPr>
              <w:t>:235</w:t>
            </w:r>
            <w:r>
              <w:rPr/>
              <w:t xml:space="preserve"> (</w:t>
            </w:r>
            <w:r>
              <w:rPr>
                <w:rStyle w:val="SourceText"/>
              </w:rPr>
              <w:t>CORS_ALLOW_ORIGINS</w:t>
            </w:r>
            <w:r>
              <w:rPr/>
              <w:t xml:space="preserve"> default </w:t>
            </w:r>
            <w:r>
              <w:rPr>
                <w:rStyle w:val="SourceText"/>
              </w:rPr>
              <w:t>*</w:t>
            </w:r>
            <w:r>
              <w:rPr/>
              <w:t xml:space="preserve">), </w:t>
            </w:r>
            <w:r>
              <w:rPr>
                <w:rStyle w:val="SourceText"/>
              </w:rPr>
              <w:t>:236</w:t>
            </w:r>
            <w:r>
              <w:rPr/>
              <w:t xml:space="preserve"> (</w:t>
            </w:r>
            <w:r>
              <w:rPr>
                <w:rStyle w:val="SourceText"/>
              </w:rPr>
              <w:t>RATE_LIMIT_PER_MIN</w:t>
            </w:r>
            <w:r>
              <w:rPr/>
              <w:t xml:space="preserve"> default </w:t>
            </w:r>
            <w:r>
              <w:rPr>
                <w:rStyle w:val="SourceText"/>
              </w:rPr>
              <w:t>0</w:t>
            </w:r>
            <w:r>
              <w:rPr/>
              <w:t xml:space="preserve">); </w:t>
            </w:r>
            <w:r>
              <w:rPr>
                <w:rStyle w:val="SourceText"/>
              </w:rPr>
              <w:t>backend/app/main.py:135</w:t>
            </w:r>
            <w:r>
              <w:rPr/>
              <w:t xml:space="preserve"> states in the code that WebSocket endpoints are not gated</w:t>
            </w:r>
          </w:p>
        </w:tc>
        <w:tc>
          <w:tcPr>
            <w:tcW w:w="1550" w:type="dxa"/>
            <w:tcBorders/>
            <w:vAlign w:val="center"/>
          </w:tcPr>
          <w:p>
            <w:pPr>
              <w:pStyle w:val="TableContents"/>
              <w:bidi w:val="0"/>
              <w:spacing w:before="0" w:after="283"/>
              <w:jc w:val="left"/>
              <w:rPr/>
            </w:pPr>
            <w:r>
              <w:rPr/>
              <w:t>Public exposure depends entirely on Cloudflare Access (</w:t>
            </w:r>
            <w:r>
              <w:rPr>
                <w:rStyle w:val="SourceText"/>
              </w:rPr>
              <w:t>docs/PUBLIC_DEPLOYMENT.md</w:t>
            </w:r>
            <w:r>
              <w:rPr/>
              <w:t xml:space="preserve"> step 4)</w:t>
            </w:r>
          </w:p>
        </w:tc>
      </w:tr>
      <w:tr>
        <w:trPr/>
        <w:tc>
          <w:tcPr>
            <w:tcW w:w="1428" w:type="dxa"/>
            <w:tcBorders/>
            <w:vAlign w:val="center"/>
          </w:tcPr>
          <w:p>
            <w:pPr>
              <w:pStyle w:val="TableContents"/>
              <w:bidi w:val="0"/>
              <w:spacing w:before="0" w:after="283"/>
              <w:jc w:val="left"/>
              <w:rPr/>
            </w:pPr>
            <w:r>
              <w:rPr/>
              <w:t>No encryption at rest</w:t>
            </w:r>
          </w:p>
        </w:tc>
        <w:tc>
          <w:tcPr>
            <w:tcW w:w="2170" w:type="dxa"/>
            <w:tcBorders/>
            <w:vAlign w:val="center"/>
          </w:tcPr>
          <w:p>
            <w:pPr>
              <w:pStyle w:val="TableContents"/>
              <w:bidi w:val="0"/>
              <w:spacing w:before="0" w:after="283"/>
              <w:jc w:val="left"/>
              <w:rPr/>
            </w:pPr>
            <w:r>
              <w:rPr/>
              <w:t xml:space="preserve">No encryption-at-rest mechanism is configured in </w:t>
            </w:r>
            <w:r>
              <w:rPr>
                <w:rStyle w:val="SourceText"/>
              </w:rPr>
              <w:t>docker-compose.yml</w:t>
            </w:r>
            <w:r>
              <w:rPr/>
              <w:t xml:space="preserve"> for </w:t>
            </w:r>
            <w:r>
              <w:rPr>
                <w:rStyle w:val="SourceText"/>
              </w:rPr>
              <w:t>echomind_data</w:t>
            </w:r>
          </w:p>
        </w:tc>
        <w:tc>
          <w:tcPr>
            <w:tcW w:w="1550" w:type="dxa"/>
            <w:tcBorders/>
            <w:vAlign w:val="center"/>
          </w:tcPr>
          <w:p>
            <w:pPr>
              <w:pStyle w:val="TableContents"/>
              <w:bidi w:val="0"/>
              <w:spacing w:before="0" w:after="283"/>
              <w:jc w:val="left"/>
              <w:rPr/>
            </w:pPr>
            <w:r>
              <w:rPr/>
              <w:t>Physical or volume-level access exposes customer content</w:t>
            </w:r>
          </w:p>
        </w:tc>
      </w:tr>
      <w:tr>
        <w:trPr/>
        <w:tc>
          <w:tcPr>
            <w:tcW w:w="1428" w:type="dxa"/>
            <w:tcBorders/>
            <w:vAlign w:val="center"/>
          </w:tcPr>
          <w:p>
            <w:pPr>
              <w:pStyle w:val="TableContents"/>
              <w:bidi w:val="0"/>
              <w:spacing w:before="0" w:after="283"/>
              <w:jc w:val="left"/>
              <w:rPr/>
            </w:pPr>
            <w:r>
              <w:rPr/>
              <w:t>Unbounded container logs</w:t>
            </w:r>
          </w:p>
        </w:tc>
        <w:tc>
          <w:tcPr>
            <w:tcW w:w="2170" w:type="dxa"/>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options, so the default </w:t>
            </w:r>
            <w:r>
              <w:rPr>
                <w:rStyle w:val="SourceText"/>
              </w:rPr>
              <w:t>json-file</w:t>
            </w:r>
            <w:r>
              <w:rPr/>
              <w:t xml:space="preserve"> driver applies with no </w:t>
            </w:r>
            <w:r>
              <w:rPr>
                <w:rStyle w:val="SourceText"/>
              </w:rPr>
              <w:t>max-size</w:t>
            </w:r>
            <w:r>
              <w:rPr/>
              <w:t xml:space="preserve"> or </w:t>
            </w:r>
            <w:r>
              <w:rPr>
                <w:rStyle w:val="SourceText"/>
              </w:rPr>
              <w:t>max-file</w:t>
            </w:r>
          </w:p>
        </w:tc>
        <w:tc>
          <w:tcPr>
            <w:tcW w:w="1550" w:type="dxa"/>
            <w:tcBorders/>
            <w:vAlign w:val="center"/>
          </w:tcPr>
          <w:p>
            <w:pPr>
              <w:pStyle w:val="TableContents"/>
              <w:bidi w:val="0"/>
              <w:spacing w:before="0" w:after="283"/>
              <w:jc w:val="left"/>
              <w:rPr/>
            </w:pPr>
            <w:r>
              <w:rPr/>
              <w:t>Logs grow until the disk fills, taking the deployment down</w:t>
            </w:r>
          </w:p>
        </w:tc>
      </w:tr>
      <w:tr>
        <w:trPr/>
        <w:tc>
          <w:tcPr>
            <w:tcW w:w="1428" w:type="dxa"/>
            <w:tcBorders/>
            <w:vAlign w:val="center"/>
          </w:tcPr>
          <w:p>
            <w:pPr>
              <w:pStyle w:val="TableContents"/>
              <w:bidi w:val="0"/>
              <w:spacing w:before="0" w:after="283"/>
              <w:jc w:val="left"/>
              <w:rPr/>
            </w:pPr>
            <w:r>
              <w:rPr/>
              <w:t>Unbounded knowledge-base growth from auto-stored transcripts</w:t>
            </w:r>
          </w:p>
        </w:tc>
        <w:tc>
          <w:tcPr>
            <w:tcW w:w="2170" w:type="dxa"/>
            <w:tcBorders/>
            <w:vAlign w:val="center"/>
          </w:tcPr>
          <w:p>
            <w:pPr>
              <w:pStyle w:val="TableContents"/>
              <w:bidi w:val="0"/>
              <w:spacing w:before="0" w:after="283"/>
              <w:jc w:val="left"/>
              <w:rPr/>
            </w:pPr>
            <w:r>
              <w:rPr>
                <w:rStyle w:val="SourceText"/>
              </w:rPr>
              <w:t>backend/app/core/config.py:95</w:t>
            </w:r>
            <w:r>
              <w:rPr/>
              <w:t xml:space="preserve"> sets </w:t>
            </w:r>
            <w:r>
              <w:rPr>
                <w:rStyle w:val="SourceText"/>
              </w:rPr>
              <w:t>AUTO_STORE_INTERVAL_SEC</w:t>
            </w:r>
            <w:r>
              <w:rPr/>
              <w:t xml:space="preserve"> to 60 by default; </w:t>
            </w:r>
            <w:r>
              <w:rPr>
                <w:rStyle w:val="SourceText"/>
              </w:rPr>
              <w:t>eval/paper/results/SUMMARY.json</w:t>
            </w:r>
            <w:r>
              <w:rPr/>
              <w:t xml:space="preserve"> (E2) records that at one point only 421 of 17,514 chunks were content, the remainder auto-saved transcripts</w:t>
            </w:r>
          </w:p>
        </w:tc>
        <w:tc>
          <w:tcPr>
            <w:tcW w:w="1550" w:type="dxa"/>
            <w:tcBorders/>
            <w:vAlign w:val="center"/>
          </w:tcPr>
          <w:p>
            <w:pPr>
              <w:pStyle w:val="TableContents"/>
              <w:bidi w:val="0"/>
              <w:spacing w:before="0" w:after="283"/>
              <w:jc w:val="left"/>
              <w:rPr/>
            </w:pPr>
            <w:r>
              <w:rPr/>
              <w:t>Retrieval quality degrades and evaluation becomes unrepresentative</w:t>
            </w:r>
          </w:p>
        </w:tc>
      </w:tr>
      <w:tr>
        <w:trPr/>
        <w:tc>
          <w:tcPr>
            <w:tcW w:w="1428" w:type="dxa"/>
            <w:tcBorders/>
            <w:vAlign w:val="center"/>
          </w:tcPr>
          <w:p>
            <w:pPr>
              <w:pStyle w:val="TableContents"/>
              <w:bidi w:val="0"/>
              <w:spacing w:before="0" w:after="283"/>
              <w:jc w:val="left"/>
              <w:rPr/>
            </w:pPr>
            <w:r>
              <w:rPr/>
              <w:t>Bus factor 1</w:t>
            </w:r>
          </w:p>
        </w:tc>
        <w:tc>
          <w:tcPr>
            <w:tcW w:w="2170" w:type="dxa"/>
            <w:tcBorders/>
            <w:vAlign w:val="center"/>
          </w:tcPr>
          <w:p>
            <w:pPr>
              <w:pStyle w:val="TableContents"/>
              <w:bidi w:val="0"/>
              <w:spacing w:before="0" w:after="283"/>
              <w:jc w:val="left"/>
              <w:rPr/>
            </w:pPr>
            <w:r>
              <w:rPr/>
              <w:t>One developer (§4)</w:t>
            </w:r>
          </w:p>
        </w:tc>
        <w:tc>
          <w:tcPr>
            <w:tcW w:w="1550" w:type="dxa"/>
            <w:tcBorders/>
            <w:vAlign w:val="center"/>
          </w:tcPr>
          <w:p>
            <w:pPr>
              <w:pStyle w:val="TableContents"/>
              <w:bidi w:val="0"/>
              <w:spacing w:before="0" w:after="283"/>
              <w:jc w:val="left"/>
              <w:rPr/>
            </w:pPr>
            <w:r>
              <w:rPr/>
              <w:t>Every risk above has the same single owner and the same single point of failure</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with a score,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