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SOP-04 — Customer Requirements and Communication</w:t>
      </w:r>
    </w:p>
    <w:tbl>
      <w:tblPr>
        <w:tblW w:w="4622" w:type="dxa"/>
        <w:jc w:val="left"/>
        <w:tblInd w:w="0" w:type="dxa"/>
        <w:tblLayout w:type="fixed"/>
        <w:tblCellMar>
          <w:top w:w="28" w:type="dxa"/>
          <w:left w:w="28" w:type="dxa"/>
          <w:bottom w:w="28" w:type="dxa"/>
          <w:right w:w="28" w:type="dxa"/>
        </w:tblCellMar>
      </w:tblPr>
      <w:tblGrid>
        <w:gridCol w:w="1951"/>
        <w:gridCol w:w="2671"/>
      </w:tblGrid>
      <w:tr>
        <w:trPr>
          <w:tblHeader w:val="true"/>
        </w:trPr>
        <w:tc>
          <w:tcPr>
            <w:tcW w:w="1951" w:type="dxa"/>
            <w:tcBorders/>
            <w:vAlign w:val="center"/>
          </w:tcPr>
          <w:p>
            <w:pPr>
              <w:pStyle w:val="TableHeading"/>
              <w:suppressLineNumbers/>
              <w:shd w:fill="1F3A5F" w:val="clear"/>
              <w:bidi w:val="0"/>
              <w:spacing w:before="0" w:after="283"/>
              <w:jc w:val="center"/>
              <w:rPr/>
            </w:pPr>
            <w:r>
              <w:rPr/>
              <w:t>Field</w:t>
            </w:r>
          </w:p>
        </w:tc>
        <w:tc>
          <w:tcPr>
            <w:tcW w:w="2671" w:type="dxa"/>
            <w:tcBorders/>
            <w:vAlign w:val="center"/>
          </w:tcPr>
          <w:p>
            <w:pPr>
              <w:pStyle w:val="TableHeading"/>
              <w:suppressLineNumbers/>
              <w:shd w:fill="1F3A5F" w:val="clear"/>
              <w:bidi w:val="0"/>
              <w:spacing w:before="0" w:after="283"/>
              <w:jc w:val="center"/>
              <w:rPr/>
            </w:pPr>
            <w:r>
              <w:rPr/>
              <w:t>Value</w:t>
            </w:r>
          </w:p>
        </w:tc>
      </w:tr>
      <w:tr>
        <w:trPr/>
        <w:tc>
          <w:tcPr>
            <w:tcW w:w="1951" w:type="dxa"/>
            <w:tcBorders/>
            <w:vAlign w:val="center"/>
          </w:tcPr>
          <w:p>
            <w:pPr>
              <w:pStyle w:val="TableContents"/>
              <w:bidi w:val="0"/>
              <w:spacing w:before="0" w:after="283"/>
              <w:jc w:val="left"/>
              <w:rPr/>
            </w:pPr>
            <w:r>
              <w:rPr/>
              <w:t>Document ID</w:t>
            </w:r>
          </w:p>
        </w:tc>
        <w:tc>
          <w:tcPr>
            <w:tcW w:w="2671" w:type="dxa"/>
            <w:tcBorders/>
            <w:vAlign w:val="center"/>
          </w:tcPr>
          <w:p>
            <w:pPr>
              <w:pStyle w:val="TableContents"/>
              <w:bidi w:val="0"/>
              <w:spacing w:before="0" w:after="283"/>
              <w:jc w:val="left"/>
              <w:rPr/>
            </w:pPr>
            <w:r>
              <w:rPr/>
              <w:t>SOP-04</w:t>
            </w:r>
          </w:p>
        </w:tc>
      </w:tr>
      <w:tr>
        <w:trPr/>
        <w:tc>
          <w:tcPr>
            <w:tcW w:w="1951" w:type="dxa"/>
            <w:tcBorders/>
            <w:vAlign w:val="center"/>
          </w:tcPr>
          <w:p>
            <w:pPr>
              <w:pStyle w:val="TableContents"/>
              <w:bidi w:val="0"/>
              <w:spacing w:before="0" w:after="283"/>
              <w:jc w:val="left"/>
              <w:rPr/>
            </w:pPr>
            <w:r>
              <w:rPr/>
              <w:t>Revision</w:t>
            </w:r>
          </w:p>
        </w:tc>
        <w:tc>
          <w:tcPr>
            <w:tcW w:w="2671" w:type="dxa"/>
            <w:tcBorders/>
            <w:vAlign w:val="center"/>
          </w:tcPr>
          <w:p>
            <w:pPr>
              <w:pStyle w:val="TableContents"/>
              <w:bidi w:val="0"/>
              <w:spacing w:before="0" w:after="283"/>
              <w:jc w:val="left"/>
              <w:rPr/>
            </w:pPr>
            <w:r>
              <w:rPr/>
              <w:t>1.2</w:t>
            </w:r>
          </w:p>
        </w:tc>
      </w:tr>
      <w:tr>
        <w:trPr/>
        <w:tc>
          <w:tcPr>
            <w:tcW w:w="1951" w:type="dxa"/>
            <w:tcBorders/>
            <w:vAlign w:val="center"/>
          </w:tcPr>
          <w:p>
            <w:pPr>
              <w:pStyle w:val="TableContents"/>
              <w:bidi w:val="0"/>
              <w:spacing w:before="0" w:after="283"/>
              <w:jc w:val="left"/>
              <w:rPr/>
            </w:pPr>
            <w:r>
              <w:rPr/>
              <w:t>Status</w:t>
            </w:r>
          </w:p>
        </w:tc>
        <w:tc>
          <w:tcPr>
            <w:tcW w:w="2671" w:type="dxa"/>
            <w:tcBorders/>
            <w:vAlign w:val="center"/>
          </w:tcPr>
          <w:p>
            <w:pPr>
              <w:pStyle w:val="TableContents"/>
              <w:bidi w:val="0"/>
              <w:spacing w:before="0" w:after="283"/>
              <w:jc w:val="left"/>
              <w:rPr/>
            </w:pPr>
            <w:r>
              <w:rPr>
                <w:rStyle w:val="Strong"/>
              </w:rPr>
              <w:t>DRAFT — not yet approved</w:t>
            </w:r>
          </w:p>
        </w:tc>
      </w:tr>
      <w:tr>
        <w:trPr/>
        <w:tc>
          <w:tcPr>
            <w:tcW w:w="1951" w:type="dxa"/>
            <w:tcBorders/>
            <w:vAlign w:val="center"/>
          </w:tcPr>
          <w:p>
            <w:pPr>
              <w:pStyle w:val="TableContents"/>
              <w:bidi w:val="0"/>
              <w:spacing w:before="0" w:after="283"/>
              <w:jc w:val="left"/>
              <w:rPr/>
            </w:pPr>
            <w:r>
              <w:rPr/>
              <w:t>Owner</w:t>
            </w:r>
          </w:p>
        </w:tc>
        <w:tc>
          <w:tcPr>
            <w:tcW w:w="2671" w:type="dxa"/>
            <w:tcBorders/>
            <w:vAlign w:val="center"/>
          </w:tcPr>
          <w:p>
            <w:pPr>
              <w:pStyle w:val="TableContents"/>
              <w:bidi w:val="0"/>
              <w:spacing w:before="0" w:after="283"/>
              <w:jc w:val="left"/>
              <w:rPr/>
            </w:pPr>
            <w:r>
              <w:rPr/>
              <w:t>Managing Director</w:t>
            </w:r>
          </w:p>
        </w:tc>
      </w:tr>
      <w:tr>
        <w:trPr/>
        <w:tc>
          <w:tcPr>
            <w:tcW w:w="1951" w:type="dxa"/>
            <w:tcBorders/>
            <w:vAlign w:val="center"/>
          </w:tcPr>
          <w:p>
            <w:pPr>
              <w:pStyle w:val="TableContents"/>
              <w:bidi w:val="0"/>
              <w:spacing w:before="0" w:after="283"/>
              <w:jc w:val="left"/>
              <w:rPr/>
            </w:pPr>
            <w:r>
              <w:rPr/>
              <w:t>Approved by</w:t>
            </w:r>
          </w:p>
        </w:tc>
        <w:tc>
          <w:tcPr>
            <w:tcW w:w="2671" w:type="dxa"/>
            <w:tcBorders/>
            <w:vAlign w:val="center"/>
          </w:tcPr>
          <w:p>
            <w:pPr>
              <w:pStyle w:val="TableContents"/>
              <w:bidi w:val="0"/>
              <w:spacing w:before="0" w:after="283"/>
              <w:jc w:val="left"/>
              <w:rPr/>
            </w:pPr>
            <w:r>
              <w:rPr>
                <w:rStyle w:val="SourceText"/>
              </w:rPr>
              <w:t>________________________</w:t>
            </w:r>
          </w:p>
        </w:tc>
      </w:tr>
      <w:tr>
        <w:trPr/>
        <w:tc>
          <w:tcPr>
            <w:tcW w:w="1951" w:type="dxa"/>
            <w:tcBorders/>
            <w:vAlign w:val="center"/>
          </w:tcPr>
          <w:p>
            <w:pPr>
              <w:pStyle w:val="TableContents"/>
              <w:bidi w:val="0"/>
              <w:spacing w:before="0" w:after="283"/>
              <w:jc w:val="left"/>
              <w:rPr/>
            </w:pPr>
            <w:r>
              <w:rPr/>
              <w:t>Approval date</w:t>
            </w:r>
          </w:p>
        </w:tc>
        <w:tc>
          <w:tcPr>
            <w:tcW w:w="2671" w:type="dxa"/>
            <w:tcBorders/>
            <w:vAlign w:val="center"/>
          </w:tcPr>
          <w:p>
            <w:pPr>
              <w:pStyle w:val="TableContents"/>
              <w:bidi w:val="0"/>
              <w:spacing w:before="0" w:after="283"/>
              <w:jc w:val="left"/>
              <w:rPr/>
            </w:pPr>
            <w:r>
              <w:rPr>
                <w:rStyle w:val="SourceText"/>
              </w:rPr>
              <w:t>____ / ____ / ________</w:t>
            </w:r>
          </w:p>
        </w:tc>
      </w:tr>
      <w:tr>
        <w:trPr/>
        <w:tc>
          <w:tcPr>
            <w:tcW w:w="1951" w:type="dxa"/>
            <w:tcBorders/>
            <w:vAlign w:val="center"/>
          </w:tcPr>
          <w:p>
            <w:pPr>
              <w:pStyle w:val="TableContents"/>
              <w:bidi w:val="0"/>
              <w:spacing w:before="0" w:after="283"/>
              <w:jc w:val="left"/>
              <w:rPr/>
            </w:pPr>
            <w:r>
              <w:rPr/>
              <w:t>ISO 9001:2015 clauses</w:t>
            </w:r>
          </w:p>
        </w:tc>
        <w:tc>
          <w:tcPr>
            <w:tcW w:w="2671" w:type="dxa"/>
            <w:tcBorders/>
            <w:vAlign w:val="center"/>
          </w:tcPr>
          <w:p>
            <w:pPr>
              <w:pStyle w:val="TableContents"/>
              <w:bidi w:val="0"/>
              <w:spacing w:before="0" w:after="283"/>
              <w:jc w:val="left"/>
              <w:rPr/>
            </w:pPr>
            <w:r>
              <w:rPr/>
              <w:t>8.2.1, 8.2.2, 8.2.3, 8.2.4, 9.1.2</w:t>
            </w:r>
          </w:p>
        </w:tc>
      </w:tr>
    </w:tbl>
    <w:p>
      <w:pPr>
        <w:pStyle w:val="HorizontalLine"/>
        <w:bidi w:val="0"/>
        <w:jc w:val="left"/>
        <w:rPr/>
      </w:pPr>
      <w:r>
        <w:rPr/>
      </w:r>
    </w:p>
    <w:p>
      <w:pPr>
        <w:pStyle w:val="BlockQuotation"/>
        <w:bidi w:val="0"/>
        <w:jc w:val="left"/>
        <w:rPr/>
      </w:pPr>
      <w:r>
        <w:rPr>
          <w:rStyle w:val="Strong"/>
        </w:rPr>
        <w:t>Read this first.</w:t>
      </w:r>
      <w:r>
        <w:rPr/>
        <w:t xml:space="preserve"> Unlike </w:t>
      </w:r>
      <w:r>
        <w:rPr>
          <w:rStyle w:val="SourceText"/>
        </w:rPr>
        <w:t>SOP-01</w:t>
      </w:r>
      <w:r>
        <w:rPr/>
        <w:t xml:space="preserve">, </w:t>
      </w:r>
      <w:r>
        <w:rPr>
          <w:rStyle w:val="SourceText"/>
        </w:rPr>
        <w:t>SOP-02</w:t>
      </w:r>
      <w:r>
        <w:rPr/>
        <w:t xml:space="preserve"> and </w:t>
      </w:r>
      <w:r>
        <w:rPr>
          <w:rStyle w:val="SourceText"/>
        </w:rPr>
        <w:t>SOP-05</w:t>
      </w:r>
      <w:r>
        <w:rPr/>
        <w:t xml:space="preserve">, this procedure does </w:t>
      </w:r>
      <w:r>
        <w:rPr>
          <w:rStyle w:val="Strong"/>
        </w:rPr>
        <w:t>not</w:t>
      </w:r>
      <w:r>
        <w:rPr/>
        <w:t xml:space="preserve"> describe an established practice. EchoMind Enterprise is early-commercial. There is no contract register, no customer feedback log and no record of a completed requirements review anywhere in this repository. What follows is the control Ajace AI intends to operate from the point this procedure is approved. Nothing in it should be read by an auditor as a description of what has already happened. §9 states the position without softening it.</w:t>
      </w:r>
    </w:p>
    <w:p>
      <w:pPr>
        <w:pStyle w:val="Heading2"/>
        <w:bidi w:val="0"/>
        <w:jc w:val="left"/>
        <w:rPr/>
      </w:pPr>
      <w:r>
        <w:rPr/>
        <w:t>1. Purpose</w:t>
      </w:r>
    </w:p>
    <w:p>
      <w:pPr>
        <w:pStyle w:val="BodyText"/>
        <w:bidi w:val="0"/>
        <w:jc w:val="left"/>
        <w:rPr/>
      </w:pPr>
      <w:r>
        <w:rPr/>
        <w:t>To define how Ajace AI determines, reviews and agrees the requirements for a customer engagement before committing to it; how changes to those requirements are handled; how Ajace AI communicates with customers, including on enquiries and complaints; and how customer satisfaction is monitored.</w:t>
      </w:r>
    </w:p>
    <w:p>
      <w:pPr>
        <w:pStyle w:val="Heading2"/>
        <w:bidi w:val="0"/>
        <w:jc w:val="left"/>
        <w:rPr/>
      </w:pPr>
      <w:r>
        <w:rPr/>
        <w:t>2. Scope</w:t>
      </w:r>
    </w:p>
    <w:p>
      <w:pPr>
        <w:pStyle w:val="BodyText"/>
        <w:bidi w:val="0"/>
        <w:jc w:val="left"/>
        <w:rPr/>
      </w:pPr>
      <w:r>
        <w:rPr/>
        <w:t>All customer engagements for EchoMind Enterprise, comprising:</w:t>
      </w:r>
    </w:p>
    <w:p>
      <w:pPr>
        <w:pStyle w:val="BodyText"/>
        <w:numPr>
          <w:ilvl w:val="0"/>
          <w:numId w:val="1"/>
        </w:numPr>
        <w:tabs>
          <w:tab w:val="clear" w:pos="1134"/>
          <w:tab w:val="left" w:pos="709" w:leader="none"/>
        </w:tabs>
        <w:bidi w:val="0"/>
        <w:spacing w:before="0" w:after="0"/>
        <w:ind w:hanging="283" w:left="709"/>
        <w:jc w:val="left"/>
        <w:rPr/>
      </w:pPr>
      <w:r>
        <w:rPr>
          <w:rStyle w:val="Strong"/>
        </w:rPr>
        <w:t>the platform</w:t>
      </w:r>
      <w:r>
        <w:rPr/>
        <w:t xml:space="preserve"> — a private, on-premises AI workspace (knowledge chat over the customer's own documents, live transcription with live fact-checking, boardroom meeting reports, a full-duplex voice assistant, and document generation) that runs fully offline on hardware the customer controls; </w:t>
      </w:r>
    </w:p>
    <w:p>
      <w:pPr>
        <w:pStyle w:val="BodyText"/>
        <w:numPr>
          <w:ilvl w:val="0"/>
          <w:numId w:val="1"/>
        </w:numPr>
        <w:tabs>
          <w:tab w:val="clear" w:pos="1134"/>
          <w:tab w:val="left" w:pos="709" w:leader="none"/>
        </w:tabs>
        <w:bidi w:val="0"/>
        <w:spacing w:before="0" w:after="0"/>
        <w:ind w:hanging="283" w:left="709"/>
        <w:jc w:val="left"/>
        <w:rPr/>
      </w:pPr>
      <w:r>
        <w:rPr>
          <w:rStyle w:val="Strong"/>
        </w:rPr>
        <w:t>customisation</w:t>
      </w:r>
      <w:r>
        <w:rPr/>
        <w:t xml:space="preserve"> — configuring and extending the platform's building blocks for the customer's material, personas, workflows and branding. The five vertical packs (health, law, meetings, retail, bank) share one deployment through isolated knowledge-base namespaces — a pattern visible in </w:t>
      </w:r>
      <w:r>
        <w:rPr>
          <w:rStyle w:val="SourceText"/>
        </w:rPr>
        <w:t>eval/golden/</w:t>
      </w:r>
      <w:r>
        <w:rPr/>
        <w:t xml:space="preserve"> where each pack has its own golden-question set, and enforced in code by the </w:t>
      </w:r>
      <w:r>
        <w:rPr>
          <w:rStyle w:val="SourceText"/>
        </w:rPr>
        <w:t>_ns_ok</w:t>
      </w:r>
      <w:r>
        <w:rPr/>
        <w:t xml:space="preserve"> predicate at </w:t>
      </w:r>
      <w:r>
        <w:rPr>
          <w:rStyle w:val="SourceText"/>
        </w:rPr>
        <w:t>backend/app/rag/index.py:36</w:t>
      </w:r>
      <w:r>
        <w:rPr/>
        <w:t xml:space="preserve">; </w:t>
      </w:r>
    </w:p>
    <w:p>
      <w:pPr>
        <w:pStyle w:val="BodyText"/>
        <w:numPr>
          <w:ilvl w:val="0"/>
          <w:numId w:val="1"/>
        </w:numPr>
        <w:tabs>
          <w:tab w:val="clear" w:pos="1134"/>
          <w:tab w:val="left" w:pos="709" w:leader="none"/>
        </w:tabs>
        <w:bidi w:val="0"/>
        <w:ind w:hanging="283" w:left="709"/>
        <w:jc w:val="left"/>
        <w:rPr/>
      </w:pPr>
      <w:r>
        <w:rPr>
          <w:rStyle w:val="Strong"/>
        </w:rPr>
        <w:t>advisory</w:t>
      </w:r>
      <w:r>
        <w:rPr/>
        <w:t xml:space="preserve"> — advice on hardware and cloud fit according to the customer's security posture. </w:t>
      </w:r>
    </w:p>
    <w:p>
      <w:pPr>
        <w:pStyle w:val="BodyText"/>
        <w:bidi w:val="0"/>
        <w:jc w:val="left"/>
        <w:rPr/>
      </w:pPr>
      <w:r>
        <w:rPr>
          <w:rStyle w:val="Strong"/>
        </w:rPr>
        <w:t>Out of scope: Ajace AI does not sell hardware.</w:t>
      </w:r>
      <w:r>
        <w:rPr/>
        <w:t xml:space="preserve"> It advises on what is suitable; the customer procures it. Any commitment made about hardware is a commitment about advice, not about supply, and must be recorded as such in the requirements review.</w:t>
      </w:r>
    </w:p>
    <w:p>
      <w:pPr>
        <w:pStyle w:val="Heading2"/>
        <w:bidi w:val="0"/>
        <w:jc w:val="left"/>
        <w:rPr/>
      </w:pPr>
      <w:r>
        <w:rPr/>
        <w:t>3. Responsibilities</w:t>
      </w:r>
    </w:p>
    <w:tbl>
      <w:tblPr>
        <w:tblW w:w="11339" w:type="dxa"/>
        <w:jc w:val="left"/>
        <w:tblInd w:w="0" w:type="dxa"/>
        <w:tblLayout w:type="fixed"/>
        <w:tblCellMar>
          <w:top w:w="28" w:type="dxa"/>
          <w:left w:w="28" w:type="dxa"/>
          <w:bottom w:w="28" w:type="dxa"/>
          <w:right w:w="28" w:type="dxa"/>
        </w:tblCellMar>
      </w:tblPr>
      <w:tblGrid>
        <w:gridCol w:w="1524"/>
        <w:gridCol w:w="9815"/>
      </w:tblGrid>
      <w:tr>
        <w:trPr>
          <w:tblHeader w:val="true"/>
        </w:trPr>
        <w:tc>
          <w:tcPr>
            <w:tcW w:w="1524" w:type="dxa"/>
            <w:tcBorders/>
            <w:vAlign w:val="center"/>
          </w:tcPr>
          <w:p>
            <w:pPr>
              <w:pStyle w:val="TableHeading"/>
              <w:suppressLineNumbers/>
              <w:shd w:fill="1F3A5F" w:val="clear"/>
              <w:bidi w:val="0"/>
              <w:spacing w:before="0" w:after="283"/>
              <w:jc w:val="center"/>
              <w:rPr/>
            </w:pPr>
            <w:r>
              <w:rPr/>
              <w:t>Role</w:t>
            </w:r>
          </w:p>
        </w:tc>
        <w:tc>
          <w:tcPr>
            <w:tcW w:w="9815" w:type="dxa"/>
            <w:tcBorders/>
            <w:vAlign w:val="center"/>
          </w:tcPr>
          <w:p>
            <w:pPr>
              <w:pStyle w:val="TableHeading"/>
              <w:suppressLineNumbers/>
              <w:shd w:fill="1F3A5F" w:val="clear"/>
              <w:bidi w:val="0"/>
              <w:spacing w:before="0" w:after="283"/>
              <w:jc w:val="center"/>
              <w:rPr/>
            </w:pPr>
            <w:r>
              <w:rPr/>
              <w:t>Responsibility</w:t>
            </w:r>
          </w:p>
        </w:tc>
      </w:tr>
      <w:tr>
        <w:trPr/>
        <w:tc>
          <w:tcPr>
            <w:tcW w:w="1524" w:type="dxa"/>
            <w:tcBorders/>
            <w:vAlign w:val="center"/>
          </w:tcPr>
          <w:p>
            <w:pPr>
              <w:pStyle w:val="TableContents"/>
              <w:bidi w:val="0"/>
              <w:spacing w:before="0" w:after="283"/>
              <w:jc w:val="left"/>
              <w:rPr/>
            </w:pPr>
            <w:r>
              <w:rPr/>
              <w:t>Managing Director</w:t>
            </w:r>
          </w:p>
        </w:tc>
        <w:tc>
          <w:tcPr>
            <w:tcW w:w="9815" w:type="dxa"/>
            <w:tcBorders/>
            <w:vAlign w:val="center"/>
          </w:tcPr>
          <w:p>
            <w:pPr>
              <w:pStyle w:val="TableContents"/>
              <w:bidi w:val="0"/>
              <w:spacing w:before="0" w:after="283"/>
              <w:jc w:val="left"/>
              <w:rPr/>
            </w:pPr>
            <w:r>
              <w:rPr/>
              <w:t>Owns this procedure. Is the only role that may commit Ajace AI to a customer requirement, a delivery date or a performance claim. Conducts and records the requirements review. Owns the customer relationship and handles complaints.</w:t>
            </w:r>
          </w:p>
        </w:tc>
      </w:tr>
      <w:tr>
        <w:trPr/>
        <w:tc>
          <w:tcPr>
            <w:tcW w:w="1524" w:type="dxa"/>
            <w:tcBorders/>
            <w:vAlign w:val="center"/>
          </w:tcPr>
          <w:p>
            <w:pPr>
              <w:pStyle w:val="TableContents"/>
              <w:bidi w:val="0"/>
              <w:spacing w:before="0" w:after="283"/>
              <w:jc w:val="left"/>
              <w:rPr/>
            </w:pPr>
            <w:r>
              <w:rPr/>
              <w:t>Lead Engineer</w:t>
            </w:r>
          </w:p>
        </w:tc>
        <w:tc>
          <w:tcPr>
            <w:tcW w:w="9815" w:type="dxa"/>
            <w:tcBorders/>
            <w:vAlign w:val="center"/>
          </w:tcPr>
          <w:p>
            <w:pPr>
              <w:pStyle w:val="TableContents"/>
              <w:bidi w:val="0"/>
              <w:spacing w:before="0" w:after="283"/>
              <w:jc w:val="left"/>
              <w:rPr/>
            </w:pPr>
            <w:r>
              <w:rPr/>
              <w:t>Assesses technical feasibility of each stated requirement before commitment and states, in writing, anything that is not achievable, not yet built, or achievable only with a stated risk. Identifies what verification would be needed to demonstrate a requirement is met.</w:t>
            </w:r>
          </w:p>
        </w:tc>
      </w:tr>
      <w:tr>
        <w:trPr/>
        <w:tc>
          <w:tcPr>
            <w:tcW w:w="1524" w:type="dxa"/>
            <w:tcBorders/>
            <w:vAlign w:val="center"/>
          </w:tcPr>
          <w:p>
            <w:pPr>
              <w:pStyle w:val="TableContents"/>
              <w:bidi w:val="0"/>
              <w:spacing w:before="0" w:after="283"/>
              <w:jc w:val="left"/>
              <w:rPr/>
            </w:pPr>
            <w:r>
              <w:rPr/>
              <w:t>Anyone contributing code</w:t>
            </w:r>
          </w:p>
        </w:tc>
        <w:tc>
          <w:tcPr>
            <w:tcW w:w="9815" w:type="dxa"/>
            <w:tcBorders/>
            <w:vAlign w:val="center"/>
          </w:tcPr>
          <w:p>
            <w:pPr>
              <w:pStyle w:val="TableContents"/>
              <w:bidi w:val="0"/>
              <w:spacing w:before="0" w:after="283"/>
              <w:jc w:val="left"/>
              <w:rPr/>
            </w:pPr>
            <w:r>
              <w:rPr/>
              <w:t>Refers any requirement, promise or complaint received directly from a customer to the Managing Director rather than answering it.</w:t>
            </w:r>
          </w:p>
        </w:tc>
      </w:tr>
    </w:tbl>
    <w:p>
      <w:pPr>
        <w:pStyle w:val="Heading2"/>
        <w:bidi w:val="0"/>
        <w:jc w:val="left"/>
        <w:rPr/>
      </w:pPr>
      <w:r>
        <w:rPr/>
        <w:t>4. Determining requirements (8.2.2)</w:t>
      </w:r>
    </w:p>
    <w:p>
      <w:pPr>
        <w:pStyle w:val="BodyText"/>
        <w:bidi w:val="0"/>
        <w:jc w:val="left"/>
        <w:rPr/>
      </w:pPr>
      <w:r>
        <w:rPr/>
        <w:t>Requirements are determined before any commitment is made. Four categories must be captured for every engagement. A requirements record with any category left blank is not complete and the engagement must not be committed.</w:t>
      </w:r>
    </w:p>
    <w:tbl>
      <w:tblPr>
        <w:tblW w:w="11339" w:type="dxa"/>
        <w:jc w:val="left"/>
        <w:tblInd w:w="0" w:type="dxa"/>
        <w:tblLayout w:type="fixed"/>
        <w:tblCellMar>
          <w:top w:w="28" w:type="dxa"/>
          <w:left w:w="28" w:type="dxa"/>
          <w:bottom w:w="28" w:type="dxa"/>
          <w:right w:w="28" w:type="dxa"/>
        </w:tblCellMar>
      </w:tblPr>
      <w:tblGrid>
        <w:gridCol w:w="2455"/>
        <w:gridCol w:w="2367"/>
        <w:gridCol w:w="6517"/>
      </w:tblGrid>
      <w:tr>
        <w:trPr>
          <w:tblHeader w:val="true"/>
        </w:trPr>
        <w:tc>
          <w:tcPr>
            <w:tcW w:w="2455" w:type="dxa"/>
            <w:tcBorders/>
            <w:vAlign w:val="center"/>
          </w:tcPr>
          <w:p>
            <w:pPr>
              <w:pStyle w:val="TableHeading"/>
              <w:suppressLineNumbers/>
              <w:shd w:fill="1F3A5F" w:val="clear"/>
              <w:bidi w:val="0"/>
              <w:spacing w:before="0" w:after="283"/>
              <w:jc w:val="center"/>
              <w:rPr/>
            </w:pPr>
            <w:r>
              <w:rPr/>
              <w:t>Category</w:t>
            </w:r>
          </w:p>
        </w:tc>
        <w:tc>
          <w:tcPr>
            <w:tcW w:w="2367" w:type="dxa"/>
            <w:tcBorders/>
            <w:vAlign w:val="center"/>
          </w:tcPr>
          <w:p>
            <w:pPr>
              <w:pStyle w:val="TableHeading"/>
              <w:suppressLineNumbers/>
              <w:shd w:fill="1F3A5F" w:val="clear"/>
              <w:bidi w:val="0"/>
              <w:spacing w:before="0" w:after="283"/>
              <w:jc w:val="center"/>
              <w:rPr/>
            </w:pPr>
            <w:r>
              <w:rPr/>
              <w:t>What must be captured</w:t>
            </w:r>
          </w:p>
        </w:tc>
        <w:tc>
          <w:tcPr>
            <w:tcW w:w="6517" w:type="dxa"/>
            <w:tcBorders/>
            <w:vAlign w:val="center"/>
          </w:tcPr>
          <w:p>
            <w:pPr>
              <w:pStyle w:val="TableHeading"/>
              <w:suppressLineNumbers/>
              <w:shd w:fill="1F3A5F" w:val="clear"/>
              <w:bidi w:val="0"/>
              <w:spacing w:before="0" w:after="283"/>
              <w:jc w:val="center"/>
              <w:rPr/>
            </w:pPr>
            <w:r>
              <w:rPr/>
              <w:t>Notes specific to this product</w:t>
            </w:r>
          </w:p>
        </w:tc>
      </w:tr>
      <w:tr>
        <w:trPr/>
        <w:tc>
          <w:tcPr>
            <w:tcW w:w="2455" w:type="dxa"/>
            <w:tcBorders/>
            <w:vAlign w:val="center"/>
          </w:tcPr>
          <w:p>
            <w:pPr>
              <w:pStyle w:val="TableContents"/>
              <w:bidi w:val="0"/>
              <w:spacing w:before="0" w:after="283"/>
              <w:jc w:val="left"/>
              <w:rPr/>
            </w:pPr>
            <w:r>
              <w:rPr>
                <w:rStyle w:val="Strong"/>
              </w:rPr>
              <w:t>Customer-stated requirements</w:t>
            </w:r>
          </w:p>
        </w:tc>
        <w:tc>
          <w:tcPr>
            <w:tcW w:w="2367" w:type="dxa"/>
            <w:tcBorders/>
            <w:vAlign w:val="center"/>
          </w:tcPr>
          <w:p>
            <w:pPr>
              <w:pStyle w:val="TableContents"/>
              <w:bidi w:val="0"/>
              <w:spacing w:before="0" w:after="283"/>
              <w:jc w:val="left"/>
              <w:rPr/>
            </w:pPr>
            <w:r>
              <w:rPr/>
              <w:t>What the customer says the system must do, for whom, with what material, to what standard</w:t>
            </w:r>
          </w:p>
        </w:tc>
        <w:tc>
          <w:tcPr>
            <w:tcW w:w="6517" w:type="dxa"/>
            <w:tcBorders/>
            <w:vAlign w:val="center"/>
          </w:tcPr>
          <w:p>
            <w:pPr>
              <w:pStyle w:val="TableContents"/>
              <w:bidi w:val="0"/>
              <w:spacing w:before="0" w:after="283"/>
              <w:jc w:val="left"/>
              <w:rPr/>
            </w:pPr>
            <w:r>
              <w:rPr/>
              <w:t>Includes delivery, post-delivery support expectations, and who trains their users</w:t>
            </w:r>
          </w:p>
        </w:tc>
      </w:tr>
      <w:tr>
        <w:trPr/>
        <w:tc>
          <w:tcPr>
            <w:tcW w:w="2455" w:type="dxa"/>
            <w:tcBorders/>
            <w:vAlign w:val="center"/>
          </w:tcPr>
          <w:p>
            <w:pPr>
              <w:pStyle w:val="TableContents"/>
              <w:bidi w:val="0"/>
              <w:spacing w:before="0" w:after="283"/>
              <w:jc w:val="left"/>
              <w:rPr/>
            </w:pPr>
            <w:r>
              <w:rPr>
                <w:rStyle w:val="Strong"/>
              </w:rPr>
              <w:t>Requirements not stated but necessary for the known intended use</w:t>
            </w:r>
          </w:p>
        </w:tc>
        <w:tc>
          <w:tcPr>
            <w:tcW w:w="2367" w:type="dxa"/>
            <w:tcBorders/>
            <w:vAlign w:val="center"/>
          </w:tcPr>
          <w:p>
            <w:pPr>
              <w:pStyle w:val="TableContents"/>
              <w:bidi w:val="0"/>
              <w:spacing w:before="0" w:after="283"/>
              <w:jc w:val="left"/>
              <w:rPr/>
            </w:pPr>
            <w:r>
              <w:rPr/>
              <w:t>What the customer has not said but will need for the stated purpose to work</w:t>
            </w:r>
          </w:p>
        </w:tc>
        <w:tc>
          <w:tcPr>
            <w:tcW w:w="6517" w:type="dxa"/>
            <w:tcBorders/>
            <w:vAlign w:val="center"/>
          </w:tcPr>
          <w:p>
            <w:pPr>
              <w:pStyle w:val="TableContents"/>
              <w:bidi w:val="0"/>
              <w:spacing w:before="0" w:after="283"/>
              <w:jc w:val="left"/>
              <w:rPr/>
            </w:pPr>
            <w:r>
              <w:rPr/>
              <w:t>For this product the standing items are: which documents form the knowledge base and who may see each; how many concurrent users; which of the five pack behaviours apply; whether the deployment is air-gapped or network-attached; who administers it after handover</w:t>
            </w:r>
          </w:p>
        </w:tc>
      </w:tr>
      <w:tr>
        <w:trPr/>
        <w:tc>
          <w:tcPr>
            <w:tcW w:w="2455" w:type="dxa"/>
            <w:tcBorders/>
            <w:vAlign w:val="center"/>
          </w:tcPr>
          <w:p>
            <w:pPr>
              <w:pStyle w:val="TableContents"/>
              <w:bidi w:val="0"/>
              <w:spacing w:before="0" w:after="283"/>
              <w:jc w:val="left"/>
              <w:rPr/>
            </w:pPr>
            <w:r>
              <w:rPr>
                <w:rStyle w:val="Strong"/>
              </w:rPr>
              <w:t>Statutory and regulatory requirements applicable to the product</w:t>
            </w:r>
          </w:p>
        </w:tc>
        <w:tc>
          <w:tcPr>
            <w:tcW w:w="2367" w:type="dxa"/>
            <w:tcBorders/>
            <w:vAlign w:val="center"/>
          </w:tcPr>
          <w:p>
            <w:pPr>
              <w:pStyle w:val="TableContents"/>
              <w:bidi w:val="0"/>
              <w:spacing w:before="0" w:after="283"/>
              <w:jc w:val="left"/>
              <w:rPr/>
            </w:pPr>
            <w:r>
              <w:rPr/>
              <w:t>Obligations that bind Ajace AI or the delivered system</w:t>
            </w:r>
          </w:p>
        </w:tc>
        <w:tc>
          <w:tcPr>
            <w:tcW w:w="6517" w:type="dxa"/>
            <w:tcBorders/>
            <w:vAlign w:val="center"/>
          </w:tcPr>
          <w:p>
            <w:pPr>
              <w:pStyle w:val="TableContents"/>
              <w:bidi w:val="0"/>
              <w:spacing w:before="0" w:after="283"/>
              <w:jc w:val="left"/>
              <w:rPr/>
            </w:pPr>
            <w:r>
              <w:rPr/>
              <w:t xml:space="preserve">Data protection; the customer's sector rules where they constrain the system (data residency, record retention, professional-advice boundaries). The lawyer-persona disclaimer behaviour is an example of a sector constraint already implemented and tested — </w:t>
            </w:r>
            <w:r>
              <w:rPr>
                <w:rStyle w:val="SourceText"/>
              </w:rPr>
              <w:t>backend/tests/test_prompt_guards.py:29</w:t>
            </w:r>
          </w:p>
        </w:tc>
      </w:tr>
      <w:tr>
        <w:trPr/>
        <w:tc>
          <w:tcPr>
            <w:tcW w:w="2455" w:type="dxa"/>
            <w:tcBorders/>
            <w:vAlign w:val="center"/>
          </w:tcPr>
          <w:p>
            <w:pPr>
              <w:pStyle w:val="TableContents"/>
              <w:bidi w:val="0"/>
              <w:spacing w:before="0" w:after="283"/>
              <w:jc w:val="left"/>
              <w:rPr/>
            </w:pPr>
            <w:r>
              <w:rPr>
                <w:rStyle w:val="Strong"/>
              </w:rPr>
              <w:t>Requirements Ajace AI itself imposes</w:t>
            </w:r>
          </w:p>
        </w:tc>
        <w:tc>
          <w:tcPr>
            <w:tcW w:w="2367" w:type="dxa"/>
            <w:tcBorders/>
            <w:vAlign w:val="center"/>
          </w:tcPr>
          <w:p>
            <w:pPr>
              <w:pStyle w:val="TableContents"/>
              <w:bidi w:val="0"/>
              <w:spacing w:before="0" w:after="283"/>
              <w:jc w:val="left"/>
              <w:rPr/>
            </w:pPr>
            <w:r>
              <w:rPr/>
              <w:t>What Ajace AI will not deliver without</w:t>
            </w:r>
          </w:p>
        </w:tc>
        <w:tc>
          <w:tcPr>
            <w:tcW w:w="6517" w:type="dxa"/>
            <w:tcBorders/>
            <w:vAlign w:val="center"/>
          </w:tcPr>
          <w:p>
            <w:pPr>
              <w:pStyle w:val="TableContents"/>
              <w:bidi w:val="0"/>
              <w:spacing w:before="0" w:after="283"/>
              <w:jc w:val="left"/>
              <w:rPr/>
            </w:pPr>
            <w:r>
              <w:rPr/>
              <w:t>Grounding and abstention behaviour must not be weakened for a customer; tenant isolation must not be disabled; customer data must remain within the customer's perimeter (</w:t>
            </w:r>
            <w:r>
              <w:rPr>
                <w:rStyle w:val="SourceText"/>
              </w:rPr>
              <w:t>QP-01</w:t>
            </w:r>
            <w:r>
              <w:rPr/>
              <w:t xml:space="preserve"> §2.1, §2.2)</w:t>
            </w:r>
          </w:p>
        </w:tc>
      </w:tr>
    </w:tbl>
    <w:p>
      <w:pPr>
        <w:pStyle w:val="BodyText"/>
        <w:bidi w:val="0"/>
        <w:jc w:val="left"/>
        <w:rPr/>
      </w:pPr>
      <w:r>
        <w:rPr>
          <w:rStyle w:val="Strong"/>
        </w:rPr>
        <w:t>Hardware and cloud fit.</w:t>
      </w:r>
      <w:r>
        <w:rPr/>
        <w:t xml:space="preserve"> Where the customer asks for advice on hardware or cloud placement, the requirements record states the security posture the advice was given against (air-gapped, network-attached but private, or hosted), the recommendation, and the explicit statement that Ajace AI advises and does not supply. The reference platform is NVIDIA DGX Spark (GB10); the configuration constraints that apply to it are recorded at </w:t>
      </w:r>
      <w:r>
        <w:rPr>
          <w:rStyle w:val="SourceText"/>
        </w:rPr>
        <w:t>docker-compose.yml:41-47</w:t>
      </w:r>
      <w:r>
        <w:rPr/>
        <w:t xml:space="preserve"> and </w:t>
      </w:r>
      <w:r>
        <w:rPr>
          <w:rStyle w:val="SourceText"/>
        </w:rPr>
        <w:t>:108-113</w:t>
      </w:r>
      <w:r>
        <w:rPr/>
        <w:t>.</w:t>
      </w:r>
    </w:p>
    <w:p>
      <w:pPr>
        <w:pStyle w:val="BodyText"/>
        <w:bidi w:val="0"/>
        <w:jc w:val="left"/>
        <w:rPr/>
      </w:pPr>
      <w:r>
        <w:rPr>
          <w:rStyle w:val="Strong"/>
        </w:rPr>
        <w:t>Claims about capability.</w:t>
      </w:r>
      <w:r>
        <w:rPr/>
        <w:t xml:space="preserve"> No performance figure, accuracy figure or benchmark may be stated to a customer unless it is reproducible from a recorded run. The figures that exist today come from </w:t>
      </w:r>
      <w:r>
        <w:rPr>
          <w:rStyle w:val="SourceText"/>
        </w:rPr>
        <w:t>eval/reports/</w:t>
      </w:r>
      <w:r>
        <w:rPr/>
        <w:t xml:space="preserve"> (golden-question runs) and </w:t>
      </w:r>
      <w:r>
        <w:rPr>
          <w:rStyle w:val="SourceText"/>
        </w:rPr>
        <w:t>eval/paper/results/</w:t>
      </w:r>
      <w:r>
        <w:rPr/>
        <w:t xml:space="preserve">. Where an experiment has not been run it is reported as not run — </w:t>
      </w:r>
      <w:r>
        <w:rPr>
          <w:rStyle w:val="SourceText"/>
        </w:rPr>
        <w:t>eval/paper/results/SUMMARY.json</w:t>
      </w:r>
      <w:r>
        <w:rPr/>
        <w:t xml:space="preserve"> records E2 as </w:t>
      </w:r>
      <w:r>
        <w:rPr>
          <w:rStyle w:val="SourceText"/>
        </w:rPr>
        <w:t>not_run</w:t>
      </w:r>
      <w:r>
        <w:rPr/>
        <w:t xml:space="preserve"> with the reason, and that is the standard (</w:t>
      </w:r>
      <w:r>
        <w:rPr>
          <w:rStyle w:val="SourceText"/>
        </w:rPr>
        <w:t>QP-01</w:t>
      </w:r>
      <w:r>
        <w:rPr/>
        <w:t xml:space="preserve"> §2.3).</w:t>
      </w:r>
    </w:p>
    <w:p>
      <w:pPr>
        <w:pStyle w:val="Heading2"/>
        <w:bidi w:val="0"/>
        <w:jc w:val="left"/>
        <w:rPr/>
      </w:pPr>
      <w:r>
        <w:rPr/>
        <w:t>5. Review of requirements before commitment (8.2.3)</w:t>
      </w:r>
    </w:p>
    <w:p>
      <w:pPr>
        <w:pStyle w:val="BodyText"/>
        <w:bidi w:val="0"/>
        <w:jc w:val="left"/>
        <w:rPr/>
      </w:pPr>
      <w:r>
        <w:rPr/>
        <w:t>The Managing Director conducts the review before Ajace AI commits to supply. The review answers six questions, and the answers are the record.</w:t>
      </w:r>
    </w:p>
    <w:tbl>
      <w:tblPr>
        <w:tblW w:w="11339" w:type="dxa"/>
        <w:jc w:val="left"/>
        <w:tblInd w:w="0" w:type="dxa"/>
        <w:tblLayout w:type="fixed"/>
        <w:tblCellMar>
          <w:top w:w="28" w:type="dxa"/>
          <w:left w:w="28" w:type="dxa"/>
          <w:bottom w:w="28" w:type="dxa"/>
          <w:right w:w="28" w:type="dxa"/>
        </w:tblCellMar>
      </w:tblPr>
      <w:tblGrid>
        <w:gridCol w:w="211"/>
        <w:gridCol w:w="5051"/>
        <w:gridCol w:w="6077"/>
      </w:tblGrid>
      <w:tr>
        <w:trPr>
          <w:tblHeader w:val="true"/>
        </w:trPr>
        <w:tc>
          <w:tcPr>
            <w:tcW w:w="211" w:type="dxa"/>
            <w:tcBorders/>
            <w:vAlign w:val="center"/>
          </w:tcPr>
          <w:p>
            <w:pPr>
              <w:pStyle w:val="TableHeading"/>
              <w:suppressLineNumbers/>
              <w:shd w:fill="1F3A5F" w:val="clear"/>
              <w:bidi w:val="0"/>
              <w:spacing w:before="0" w:after="283"/>
              <w:jc w:val="center"/>
              <w:rPr/>
            </w:pPr>
            <w:r>
              <w:rPr/>
              <w:t>#</w:t>
            </w:r>
          </w:p>
        </w:tc>
        <w:tc>
          <w:tcPr>
            <w:tcW w:w="5051" w:type="dxa"/>
            <w:tcBorders/>
            <w:vAlign w:val="center"/>
          </w:tcPr>
          <w:p>
            <w:pPr>
              <w:pStyle w:val="TableHeading"/>
              <w:suppressLineNumbers/>
              <w:shd w:fill="1F3A5F" w:val="clear"/>
              <w:bidi w:val="0"/>
              <w:spacing w:before="0" w:after="283"/>
              <w:jc w:val="center"/>
              <w:rPr/>
            </w:pPr>
            <w:r>
              <w:rPr/>
              <w:t>Question</w:t>
            </w:r>
          </w:p>
        </w:tc>
        <w:tc>
          <w:tcPr>
            <w:tcW w:w="6077" w:type="dxa"/>
            <w:tcBorders/>
            <w:vAlign w:val="center"/>
          </w:tcPr>
          <w:p>
            <w:pPr>
              <w:pStyle w:val="TableHeading"/>
              <w:suppressLineNumbers/>
              <w:shd w:fill="1F3A5F" w:val="clear"/>
              <w:bidi w:val="0"/>
              <w:spacing w:before="0" w:after="283"/>
              <w:jc w:val="center"/>
              <w:rPr/>
            </w:pPr>
            <w:r>
              <w:rPr/>
              <w:t>Evidence expected</w:t>
            </w:r>
          </w:p>
        </w:tc>
      </w:tr>
      <w:tr>
        <w:trPr/>
        <w:tc>
          <w:tcPr>
            <w:tcW w:w="211" w:type="dxa"/>
            <w:tcBorders/>
            <w:vAlign w:val="center"/>
          </w:tcPr>
          <w:p>
            <w:pPr>
              <w:pStyle w:val="TableContents"/>
              <w:bidi w:val="0"/>
              <w:spacing w:before="0" w:after="283"/>
              <w:jc w:val="left"/>
              <w:rPr/>
            </w:pPr>
            <w:r>
              <w:rPr/>
              <w:t>1</w:t>
            </w:r>
          </w:p>
        </w:tc>
        <w:tc>
          <w:tcPr>
            <w:tcW w:w="5051" w:type="dxa"/>
            <w:tcBorders/>
            <w:vAlign w:val="center"/>
          </w:tcPr>
          <w:p>
            <w:pPr>
              <w:pStyle w:val="TableContents"/>
              <w:bidi w:val="0"/>
              <w:spacing w:before="0" w:after="283"/>
              <w:jc w:val="left"/>
              <w:rPr/>
            </w:pPr>
            <w:r>
              <w:rPr/>
              <w:t>Are all four categories in §4 captured, including the unstated-but-necessary ones?</w:t>
            </w:r>
          </w:p>
        </w:tc>
        <w:tc>
          <w:tcPr>
            <w:tcW w:w="6077" w:type="dxa"/>
            <w:tcBorders/>
            <w:vAlign w:val="center"/>
          </w:tcPr>
          <w:p>
            <w:pPr>
              <w:pStyle w:val="TableContents"/>
              <w:bidi w:val="0"/>
              <w:spacing w:before="0" w:after="283"/>
              <w:jc w:val="left"/>
              <w:rPr/>
            </w:pPr>
            <w:r>
              <w:rPr/>
              <w:t>The requirements record itself</w:t>
            </w:r>
          </w:p>
        </w:tc>
      </w:tr>
      <w:tr>
        <w:trPr/>
        <w:tc>
          <w:tcPr>
            <w:tcW w:w="211" w:type="dxa"/>
            <w:tcBorders/>
            <w:vAlign w:val="center"/>
          </w:tcPr>
          <w:p>
            <w:pPr>
              <w:pStyle w:val="TableContents"/>
              <w:bidi w:val="0"/>
              <w:spacing w:before="0" w:after="283"/>
              <w:jc w:val="left"/>
              <w:rPr/>
            </w:pPr>
            <w:r>
              <w:rPr/>
              <w:t>2</w:t>
            </w:r>
          </w:p>
        </w:tc>
        <w:tc>
          <w:tcPr>
            <w:tcW w:w="5051" w:type="dxa"/>
            <w:tcBorders/>
            <w:vAlign w:val="center"/>
          </w:tcPr>
          <w:p>
            <w:pPr>
              <w:pStyle w:val="TableContents"/>
              <w:bidi w:val="0"/>
              <w:spacing w:before="0" w:after="283"/>
              <w:jc w:val="left"/>
              <w:rPr/>
            </w:pPr>
            <w:r>
              <w:rPr/>
              <w:t>Can each requirement be met with the platform as it stands, with customisation, or not at all?</w:t>
            </w:r>
          </w:p>
        </w:tc>
        <w:tc>
          <w:tcPr>
            <w:tcW w:w="6077" w:type="dxa"/>
            <w:tcBorders/>
            <w:vAlign w:val="center"/>
          </w:tcPr>
          <w:p>
            <w:pPr>
              <w:pStyle w:val="TableContents"/>
              <w:bidi w:val="0"/>
              <w:spacing w:before="0" w:after="283"/>
              <w:jc w:val="left"/>
              <w:rPr/>
            </w:pPr>
            <w:r>
              <w:rPr/>
              <w:t xml:space="preserve">Lead Engineer's written feasibility assessment against the capability baseline in </w:t>
            </w:r>
            <w:r>
              <w:rPr>
                <w:rStyle w:val="SourceText"/>
              </w:rPr>
              <w:t>docs/CAPABILITIES.md</w:t>
            </w:r>
          </w:p>
        </w:tc>
      </w:tr>
      <w:tr>
        <w:trPr/>
        <w:tc>
          <w:tcPr>
            <w:tcW w:w="211" w:type="dxa"/>
            <w:tcBorders/>
            <w:vAlign w:val="center"/>
          </w:tcPr>
          <w:p>
            <w:pPr>
              <w:pStyle w:val="TableContents"/>
              <w:bidi w:val="0"/>
              <w:spacing w:before="0" w:after="283"/>
              <w:jc w:val="left"/>
              <w:rPr/>
            </w:pPr>
            <w:r>
              <w:rPr/>
              <w:t>3</w:t>
            </w:r>
          </w:p>
        </w:tc>
        <w:tc>
          <w:tcPr>
            <w:tcW w:w="5051" w:type="dxa"/>
            <w:tcBorders/>
            <w:vAlign w:val="center"/>
          </w:tcPr>
          <w:p>
            <w:pPr>
              <w:pStyle w:val="TableContents"/>
              <w:bidi w:val="0"/>
              <w:spacing w:before="0" w:after="283"/>
              <w:jc w:val="left"/>
              <w:rPr/>
            </w:pPr>
            <w:r>
              <w:rPr/>
              <w:t xml:space="preserve">For anything requiring new development, has it been planned under </w:t>
            </w:r>
            <w:r>
              <w:rPr>
                <w:rStyle w:val="SourceText"/>
              </w:rPr>
              <w:t>SOP-05</w:t>
            </w:r>
            <w:r>
              <w:rPr/>
              <w:t>?</w:t>
            </w:r>
          </w:p>
        </w:tc>
        <w:tc>
          <w:tcPr>
            <w:tcW w:w="6077" w:type="dxa"/>
            <w:tcBorders/>
            <w:vAlign w:val="center"/>
          </w:tcPr>
          <w:p>
            <w:pPr>
              <w:pStyle w:val="TableContents"/>
              <w:bidi w:val="0"/>
              <w:spacing w:before="0" w:after="283"/>
              <w:jc w:val="left"/>
              <w:rPr/>
            </w:pPr>
            <w:r>
              <w:rPr/>
              <w:t>A design plan reference</w:t>
            </w:r>
          </w:p>
        </w:tc>
      </w:tr>
      <w:tr>
        <w:trPr/>
        <w:tc>
          <w:tcPr>
            <w:tcW w:w="211" w:type="dxa"/>
            <w:tcBorders/>
            <w:vAlign w:val="center"/>
          </w:tcPr>
          <w:p>
            <w:pPr>
              <w:pStyle w:val="TableContents"/>
              <w:bidi w:val="0"/>
              <w:spacing w:before="0" w:after="283"/>
              <w:jc w:val="left"/>
              <w:rPr/>
            </w:pPr>
            <w:r>
              <w:rPr/>
              <w:t>4</w:t>
            </w:r>
          </w:p>
        </w:tc>
        <w:tc>
          <w:tcPr>
            <w:tcW w:w="5051" w:type="dxa"/>
            <w:tcBorders/>
            <w:vAlign w:val="center"/>
          </w:tcPr>
          <w:p>
            <w:pPr>
              <w:pStyle w:val="TableContents"/>
              <w:bidi w:val="0"/>
              <w:spacing w:before="0" w:after="283"/>
              <w:jc w:val="left"/>
              <w:rPr/>
            </w:pPr>
            <w:r>
              <w:rPr/>
              <w:t>How will each requirement be shown to be met at handover?</w:t>
            </w:r>
          </w:p>
        </w:tc>
        <w:tc>
          <w:tcPr>
            <w:tcW w:w="6077" w:type="dxa"/>
            <w:tcBorders/>
            <w:vAlign w:val="center"/>
          </w:tcPr>
          <w:p>
            <w:pPr>
              <w:pStyle w:val="TableContents"/>
              <w:bidi w:val="0"/>
              <w:spacing w:before="0" w:after="283"/>
              <w:jc w:val="left"/>
              <w:rPr/>
            </w:pPr>
            <w:r>
              <w:rPr/>
              <w:t xml:space="preserve">Named acceptance criteria — for a retrieval requirement, a set of golden questions added to </w:t>
            </w:r>
            <w:r>
              <w:rPr>
                <w:rStyle w:val="SourceText"/>
              </w:rPr>
              <w:t>eval/golden/</w:t>
            </w:r>
            <w:r>
              <w:rPr/>
              <w:t xml:space="preserve"> for that customer's corpus</w:t>
            </w:r>
          </w:p>
        </w:tc>
      </w:tr>
      <w:tr>
        <w:trPr/>
        <w:tc>
          <w:tcPr>
            <w:tcW w:w="211" w:type="dxa"/>
            <w:tcBorders/>
            <w:vAlign w:val="center"/>
          </w:tcPr>
          <w:p>
            <w:pPr>
              <w:pStyle w:val="TableContents"/>
              <w:bidi w:val="0"/>
              <w:spacing w:before="0" w:after="283"/>
              <w:jc w:val="left"/>
              <w:rPr/>
            </w:pPr>
            <w:r>
              <w:rPr/>
              <w:t>5</w:t>
            </w:r>
          </w:p>
        </w:tc>
        <w:tc>
          <w:tcPr>
            <w:tcW w:w="5051" w:type="dxa"/>
            <w:tcBorders/>
            <w:vAlign w:val="center"/>
          </w:tcPr>
          <w:p>
            <w:pPr>
              <w:pStyle w:val="TableContents"/>
              <w:bidi w:val="0"/>
              <w:spacing w:before="0" w:after="283"/>
              <w:jc w:val="left"/>
              <w:rPr/>
            </w:pPr>
            <w:r>
              <w:rPr/>
              <w:t>Do differing requirements from a proposal, a tender and a conversation conflict? If so, which one governs?</w:t>
            </w:r>
          </w:p>
        </w:tc>
        <w:tc>
          <w:tcPr>
            <w:tcW w:w="6077" w:type="dxa"/>
            <w:tcBorders/>
            <w:vAlign w:val="center"/>
          </w:tcPr>
          <w:p>
            <w:pPr>
              <w:pStyle w:val="TableContents"/>
              <w:bidi w:val="0"/>
              <w:spacing w:before="0" w:after="283"/>
              <w:jc w:val="left"/>
              <w:rPr/>
            </w:pPr>
            <w:r>
              <w:rPr/>
              <w:t>The resolved position, in writing, agreed with the customer</w:t>
            </w:r>
          </w:p>
        </w:tc>
      </w:tr>
      <w:tr>
        <w:trPr/>
        <w:tc>
          <w:tcPr>
            <w:tcW w:w="211" w:type="dxa"/>
            <w:tcBorders/>
            <w:vAlign w:val="center"/>
          </w:tcPr>
          <w:p>
            <w:pPr>
              <w:pStyle w:val="TableContents"/>
              <w:bidi w:val="0"/>
              <w:spacing w:before="0" w:after="283"/>
              <w:jc w:val="left"/>
              <w:rPr/>
            </w:pPr>
            <w:r>
              <w:rPr/>
              <w:t>6</w:t>
            </w:r>
          </w:p>
        </w:tc>
        <w:tc>
          <w:tcPr>
            <w:tcW w:w="5051" w:type="dxa"/>
            <w:tcBorders/>
            <w:vAlign w:val="center"/>
          </w:tcPr>
          <w:p>
            <w:pPr>
              <w:pStyle w:val="TableContents"/>
              <w:bidi w:val="0"/>
              <w:spacing w:before="0" w:after="283"/>
              <w:jc w:val="left"/>
              <w:rPr/>
            </w:pPr>
            <w:r>
              <w:rPr/>
              <w:t>Can Ajace AI actually deliver — capacity, competence, hardware availability at the customer?</w:t>
            </w:r>
          </w:p>
        </w:tc>
        <w:tc>
          <w:tcPr>
            <w:tcW w:w="6077" w:type="dxa"/>
            <w:tcBorders/>
            <w:vAlign w:val="center"/>
          </w:tcPr>
          <w:p>
            <w:pPr>
              <w:pStyle w:val="TableContents"/>
              <w:bidi w:val="0"/>
              <w:spacing w:before="0" w:after="283"/>
              <w:jc w:val="left"/>
              <w:rPr/>
            </w:pPr>
            <w:r>
              <w:rPr/>
              <w:t xml:space="preserve">An honest statement of resource, including the single-person constraint recorded in </w:t>
            </w:r>
            <w:r>
              <w:rPr>
                <w:rStyle w:val="SourceText"/>
              </w:rPr>
              <w:t>SOP-03</w:t>
            </w:r>
            <w:r>
              <w:rPr/>
              <w:t xml:space="preserve"> §10</w:t>
            </w:r>
          </w:p>
        </w:tc>
      </w:tr>
    </w:tbl>
    <w:p>
      <w:pPr>
        <w:pStyle w:val="BodyText"/>
        <w:bidi w:val="0"/>
        <w:jc w:val="left"/>
        <w:rPr/>
      </w:pPr>
      <w:r>
        <w:rPr>
          <w:rStyle w:val="Strong"/>
        </w:rPr>
        <w:t>The record.</w:t>
      </w:r>
      <w:r>
        <w:rPr/>
        <w:t xml:space="preserve"> The review is recorded on </w:t>
      </w:r>
      <w:r>
        <w:rPr>
          <w:rStyle w:val="SourceText"/>
        </w:rPr>
        <w:t>forms/FRM-11_Requirements_Review_Record.md</w:t>
      </w:r>
      <w:r>
        <w:rPr/>
        <w:t xml:space="preserve"> and filed in </w:t>
      </w:r>
      <w:r>
        <w:rPr>
          <w:rStyle w:val="SourceText"/>
        </w:rPr>
        <w:t>registers/REG-06_Customer_Feedback_and_Complaints_Log.md</w:t>
      </w:r>
      <w:r>
        <w:rPr/>
        <w:t>. Where the customer's requirements are stated only verbally, Ajace AI writes them down and obtains the customer's written confirmation before accepting them; an unconfirmed verbal requirement is not a requirement.</w:t>
      </w:r>
    </w:p>
    <w:p>
      <w:pPr>
        <w:pStyle w:val="BodyText"/>
        <w:bidi w:val="0"/>
        <w:jc w:val="left"/>
        <w:rPr/>
      </w:pPr>
      <w:r>
        <w:rPr>
          <w:rStyle w:val="Strong"/>
        </w:rPr>
        <w:t>Nothing is committed before the review is recorded.</w:t>
      </w:r>
      <w:r>
        <w:rPr/>
        <w:t xml:space="preserve"> A proposal, a quotation and a signature are each a commitment. The review precedes all three.</w:t>
      </w:r>
    </w:p>
    <w:p>
      <w:pPr>
        <w:pStyle w:val="Heading2"/>
        <w:bidi w:val="0"/>
        <w:jc w:val="left"/>
        <w:rPr/>
      </w:pPr>
      <w:r>
        <w:rPr/>
        <w:t>6. Changes to requirements (8.2.4)</w:t>
      </w:r>
    </w:p>
    <w:p>
      <w:pPr>
        <w:pStyle w:val="BodyText"/>
        <w:bidi w:val="0"/>
        <w:jc w:val="left"/>
        <w:rPr/>
      </w:pPr>
      <w:r>
        <w:rPr/>
        <w:t>When a requirement changes — whether the customer asks for the change, or Ajace AI discovers that a requirement as written cannot be met — the following applies.</w:t>
      </w:r>
    </w:p>
    <w:p>
      <w:pPr>
        <w:pStyle w:val="BodyText"/>
        <w:numPr>
          <w:ilvl w:val="0"/>
          <w:numId w:val="2"/>
        </w:numPr>
        <w:tabs>
          <w:tab w:val="clear" w:pos="1134"/>
          <w:tab w:val="left" w:pos="709" w:leader="none"/>
        </w:tabs>
        <w:bidi w:val="0"/>
        <w:spacing w:before="0" w:after="0"/>
        <w:ind w:hanging="283" w:left="709"/>
        <w:jc w:val="left"/>
        <w:rPr/>
      </w:pPr>
      <w:r>
        <w:rPr/>
        <w:t xml:space="preserve">The change is captured in writing against the original requirements record; the original is not overwritten, so that the position at commitment remains visible. </w:t>
      </w:r>
    </w:p>
    <w:p>
      <w:pPr>
        <w:pStyle w:val="BodyText"/>
        <w:numPr>
          <w:ilvl w:val="0"/>
          <w:numId w:val="2"/>
        </w:numPr>
        <w:tabs>
          <w:tab w:val="clear" w:pos="1134"/>
          <w:tab w:val="left" w:pos="709" w:leader="none"/>
        </w:tabs>
        <w:bidi w:val="0"/>
        <w:spacing w:before="0" w:after="0"/>
        <w:ind w:hanging="283" w:left="709"/>
        <w:jc w:val="left"/>
        <w:rPr/>
      </w:pPr>
      <w:r>
        <w:rPr/>
        <w:t xml:space="preserve">The change is reviewed against the same six questions in §5, in proportion to its size. </w:t>
      </w:r>
    </w:p>
    <w:p>
      <w:pPr>
        <w:pStyle w:val="BodyText"/>
        <w:numPr>
          <w:ilvl w:val="0"/>
          <w:numId w:val="2"/>
        </w:numPr>
        <w:tabs>
          <w:tab w:val="clear" w:pos="1134"/>
          <w:tab w:val="left" w:pos="709" w:leader="none"/>
        </w:tabs>
        <w:bidi w:val="0"/>
        <w:spacing w:before="0" w:after="0"/>
        <w:ind w:hanging="283" w:left="709"/>
        <w:jc w:val="left"/>
        <w:rPr/>
      </w:pPr>
      <w:r>
        <w:rPr/>
        <w:t xml:space="preserve">The Managing Director confirms the revised position with the customer in writing, including any effect on scope, date or price, </w:t>
      </w:r>
      <w:r>
        <w:rPr>
          <w:rStyle w:val="Strong"/>
        </w:rPr>
        <w:t>before</w:t>
      </w:r>
      <w:r>
        <w:rPr/>
        <w:t xml:space="preserve"> work proceeds on the changed basis. </w:t>
      </w:r>
    </w:p>
    <w:p>
      <w:pPr>
        <w:pStyle w:val="BodyText"/>
        <w:numPr>
          <w:ilvl w:val="0"/>
          <w:numId w:val="2"/>
        </w:numPr>
        <w:tabs>
          <w:tab w:val="clear" w:pos="1134"/>
          <w:tab w:val="left" w:pos="709" w:leader="none"/>
        </w:tabs>
        <w:bidi w:val="0"/>
        <w:spacing w:before="0" w:after="0"/>
        <w:ind w:hanging="283" w:left="709"/>
        <w:jc w:val="left"/>
        <w:rPr/>
      </w:pPr>
      <w:r>
        <w:rPr/>
        <w:t xml:space="preserve">Where the change alters what the software must do, it becomes a design change and is additionally controlled under </w:t>
      </w:r>
      <w:r>
        <w:rPr>
          <w:rStyle w:val="SourceText"/>
        </w:rPr>
        <w:t>SOP-05</w:t>
      </w:r>
      <w:r>
        <w:rPr/>
        <w:t xml:space="preserve"> §8. </w:t>
      </w:r>
    </w:p>
    <w:p>
      <w:pPr>
        <w:pStyle w:val="BodyText"/>
        <w:numPr>
          <w:ilvl w:val="0"/>
          <w:numId w:val="2"/>
        </w:numPr>
        <w:tabs>
          <w:tab w:val="clear" w:pos="1134"/>
          <w:tab w:val="left" w:pos="709" w:leader="none"/>
        </w:tabs>
        <w:bidi w:val="0"/>
        <w:ind w:hanging="283" w:left="709"/>
        <w:jc w:val="left"/>
        <w:rPr/>
      </w:pPr>
      <w:r>
        <w:rPr/>
        <w:t xml:space="preserve">Everyone affected is informed of the amended requirement. With one person in the organisation this step is trivial today; it is stated because it will not remain trivial. </w:t>
      </w:r>
    </w:p>
    <w:p>
      <w:pPr>
        <w:pStyle w:val="BodyText"/>
        <w:bidi w:val="0"/>
        <w:jc w:val="left"/>
        <w:rPr/>
      </w:pPr>
      <w:r>
        <w:rPr/>
        <w:t xml:space="preserve">A change accepted informally and not recorded is a nonconformity under </w:t>
      </w:r>
      <w:r>
        <w:rPr>
          <w:rStyle w:val="SourceText"/>
        </w:rPr>
        <w:t>SOP-14</w:t>
      </w:r>
      <w:r>
        <w:rPr/>
        <w:t>.</w:t>
      </w:r>
    </w:p>
    <w:p>
      <w:pPr>
        <w:pStyle w:val="Heading2"/>
        <w:bidi w:val="0"/>
        <w:jc w:val="left"/>
        <w:rPr/>
      </w:pPr>
      <w:r>
        <w:rPr/>
        <w:t>7. Customer communication (8.2.1)</w:t>
      </w:r>
    </w:p>
    <w:tbl>
      <w:tblPr>
        <w:tblW w:w="11339" w:type="dxa"/>
        <w:jc w:val="left"/>
        <w:tblInd w:w="0" w:type="dxa"/>
        <w:tblLayout w:type="fixed"/>
        <w:tblCellMar>
          <w:top w:w="28" w:type="dxa"/>
          <w:left w:w="28" w:type="dxa"/>
          <w:bottom w:w="28" w:type="dxa"/>
          <w:right w:w="28" w:type="dxa"/>
        </w:tblCellMar>
      </w:tblPr>
      <w:tblGrid>
        <w:gridCol w:w="1803"/>
        <w:gridCol w:w="9536"/>
      </w:tblGrid>
      <w:tr>
        <w:trPr>
          <w:tblHeader w:val="true"/>
        </w:trPr>
        <w:tc>
          <w:tcPr>
            <w:tcW w:w="1803" w:type="dxa"/>
            <w:tcBorders/>
            <w:vAlign w:val="center"/>
          </w:tcPr>
          <w:p>
            <w:pPr>
              <w:pStyle w:val="TableHeading"/>
              <w:suppressLineNumbers/>
              <w:shd w:fill="1F3A5F" w:val="clear"/>
              <w:bidi w:val="0"/>
              <w:spacing w:before="0" w:after="283"/>
              <w:jc w:val="center"/>
              <w:rPr/>
            </w:pPr>
            <w:r>
              <w:rPr/>
              <w:t>ISO 8.2.1 topic</w:t>
            </w:r>
          </w:p>
        </w:tc>
        <w:tc>
          <w:tcPr>
            <w:tcW w:w="9536" w:type="dxa"/>
            <w:tcBorders/>
            <w:vAlign w:val="center"/>
          </w:tcPr>
          <w:p>
            <w:pPr>
              <w:pStyle w:val="TableHeading"/>
              <w:suppressLineNumbers/>
              <w:shd w:fill="1F3A5F" w:val="clear"/>
              <w:bidi w:val="0"/>
              <w:spacing w:before="0" w:after="283"/>
              <w:jc w:val="center"/>
              <w:rPr/>
            </w:pPr>
            <w:r>
              <w:rPr/>
              <w:t>Channel and rule</w:t>
            </w:r>
          </w:p>
        </w:tc>
      </w:tr>
      <w:tr>
        <w:trPr/>
        <w:tc>
          <w:tcPr>
            <w:tcW w:w="1803" w:type="dxa"/>
            <w:tcBorders/>
            <w:vAlign w:val="center"/>
          </w:tcPr>
          <w:p>
            <w:pPr>
              <w:pStyle w:val="TableContents"/>
              <w:bidi w:val="0"/>
              <w:spacing w:before="0" w:after="283"/>
              <w:jc w:val="left"/>
              <w:rPr/>
            </w:pPr>
            <w:r>
              <w:rPr/>
              <w:t>Information about the product and services</w:t>
            </w:r>
          </w:p>
        </w:tc>
        <w:tc>
          <w:tcPr>
            <w:tcW w:w="9536" w:type="dxa"/>
            <w:tcBorders/>
            <w:vAlign w:val="center"/>
          </w:tcPr>
          <w:p>
            <w:pPr>
              <w:pStyle w:val="TableContents"/>
              <w:bidi w:val="0"/>
              <w:spacing w:before="0" w:after="283"/>
              <w:jc w:val="left"/>
              <w:rPr/>
            </w:pPr>
            <w:r>
              <w:rPr>
                <w:rStyle w:val="SourceText"/>
              </w:rPr>
              <w:t>docs/CAPABILITIES.md</w:t>
            </w:r>
            <w:r>
              <w:rPr/>
              <w:t xml:space="preserve"> is the internal source of truth for what the platform does; anything stated externally must be consistent with it. </w:t>
            </w:r>
            <w:r>
              <w:rPr>
                <w:rStyle w:val="SourceText"/>
              </w:rPr>
              <w:t>docs/USER_MANUAL.md</w:t>
            </w:r>
            <w:r>
              <w:rPr/>
              <w:t xml:space="preserve"> (1257 lines, 16 chapters) is the user-facing operating documentation issued with a deployment.</w:t>
            </w:r>
          </w:p>
        </w:tc>
      </w:tr>
      <w:tr>
        <w:trPr/>
        <w:tc>
          <w:tcPr>
            <w:tcW w:w="1803" w:type="dxa"/>
            <w:tcBorders/>
            <w:vAlign w:val="center"/>
          </w:tcPr>
          <w:p>
            <w:pPr>
              <w:pStyle w:val="TableContents"/>
              <w:bidi w:val="0"/>
              <w:spacing w:before="0" w:after="283"/>
              <w:jc w:val="left"/>
              <w:rPr/>
            </w:pPr>
            <w:r>
              <w:rPr/>
              <w:t>Enquiries, contracts, order handling and amendments</w:t>
            </w:r>
          </w:p>
        </w:tc>
        <w:tc>
          <w:tcPr>
            <w:tcW w:w="9536" w:type="dxa"/>
            <w:tcBorders/>
            <w:vAlign w:val="center"/>
          </w:tcPr>
          <w:p>
            <w:pPr>
              <w:pStyle w:val="TableContents"/>
              <w:bidi w:val="0"/>
              <w:spacing w:before="0" w:after="283"/>
              <w:jc w:val="left"/>
              <w:rPr/>
            </w:pPr>
            <w:r>
              <w:rPr/>
              <w:t xml:space="preserve">Directed to the Managing Director. Every enquiry is logged in </w:t>
            </w:r>
            <w:r>
              <w:rPr>
                <w:rStyle w:val="SourceText"/>
              </w:rPr>
              <w:t>registers/REG-06_Customer_Feedback_and_Complaints_Log.md</w:t>
            </w:r>
            <w:r>
              <w:rPr/>
              <w:t xml:space="preserve"> on receipt, whether or not it progresses, so that the pipeline and the response times are visible. Amendments follow §6.</w:t>
            </w:r>
          </w:p>
        </w:tc>
      </w:tr>
      <w:tr>
        <w:trPr/>
        <w:tc>
          <w:tcPr>
            <w:tcW w:w="1803" w:type="dxa"/>
            <w:tcBorders/>
            <w:vAlign w:val="center"/>
          </w:tcPr>
          <w:p>
            <w:pPr>
              <w:pStyle w:val="TableContents"/>
              <w:bidi w:val="0"/>
              <w:spacing w:before="0" w:after="283"/>
              <w:jc w:val="left"/>
              <w:rPr/>
            </w:pPr>
            <w:r>
              <w:rPr/>
              <w:t>Customer feedback, including complaints</w:t>
            </w:r>
          </w:p>
        </w:tc>
        <w:tc>
          <w:tcPr>
            <w:tcW w:w="9536" w:type="dxa"/>
            <w:tcBorders/>
            <w:vAlign w:val="center"/>
          </w:tcPr>
          <w:p>
            <w:pPr>
              <w:pStyle w:val="TableContents"/>
              <w:bidi w:val="0"/>
              <w:spacing w:before="0" w:after="283"/>
              <w:jc w:val="left"/>
              <w:rPr/>
            </w:pPr>
            <w:r>
              <w:rPr/>
              <w:t xml:space="preserve">Logged in </w:t>
            </w:r>
            <w:r>
              <w:rPr>
                <w:rStyle w:val="SourceText"/>
              </w:rPr>
              <w:t>registers/REG-06_Customer_Feedback_and_Complaints_Log.md</w:t>
            </w:r>
            <w:r>
              <w:rPr/>
              <w:t xml:space="preserve"> — see §8.</w:t>
            </w:r>
          </w:p>
        </w:tc>
      </w:tr>
      <w:tr>
        <w:trPr/>
        <w:tc>
          <w:tcPr>
            <w:tcW w:w="1803" w:type="dxa"/>
            <w:tcBorders/>
            <w:vAlign w:val="center"/>
          </w:tcPr>
          <w:p>
            <w:pPr>
              <w:pStyle w:val="TableContents"/>
              <w:bidi w:val="0"/>
              <w:spacing w:before="0" w:after="283"/>
              <w:jc w:val="left"/>
              <w:rPr/>
            </w:pPr>
            <w:r>
              <w:rPr/>
              <w:t>Handling or controlling customer property</w:t>
            </w:r>
          </w:p>
        </w:tc>
        <w:tc>
          <w:tcPr>
            <w:tcW w:w="9536" w:type="dxa"/>
            <w:tcBorders/>
            <w:vAlign w:val="center"/>
          </w:tcPr>
          <w:p>
            <w:pPr>
              <w:pStyle w:val="TableContents"/>
              <w:bidi w:val="0"/>
              <w:spacing w:before="0" w:after="283"/>
              <w:jc w:val="left"/>
              <w:rPr/>
            </w:pPr>
            <w:r>
              <w:rPr/>
              <w:t xml:space="preserve">Customer documents, transcripts and audio are customer property under ISO 9001:2015 8.5.3 and are handled under </w:t>
            </w:r>
            <w:r>
              <w:rPr>
                <w:rStyle w:val="SourceText"/>
              </w:rPr>
              <w:t>SOP-11</w:t>
            </w:r>
            <w:r>
              <w:rPr/>
              <w:t>. They are held only in the deployment's data volumes and are never committed to this repository (</w:t>
            </w:r>
            <w:r>
              <w:rPr>
                <w:rStyle w:val="SourceText"/>
              </w:rPr>
              <w:t>SOP-01</w:t>
            </w:r>
            <w:r>
              <w:rPr/>
              <w:t xml:space="preserve"> §9). The customer is told in writing where their data resides, that </w:t>
            </w:r>
            <w:r>
              <w:rPr>
                <w:rStyle w:val="SourceText"/>
              </w:rPr>
              <w:t>docker-compose.yml:101-102</w:t>
            </w:r>
            <w:r>
              <w:rPr/>
              <w:t xml:space="preserve"> mounts volume </w:t>
            </w:r>
            <w:r>
              <w:rPr>
                <w:rStyle w:val="SourceText"/>
              </w:rPr>
              <w:t>echomind_data</w:t>
            </w:r>
            <w:r>
              <w:rPr/>
              <w:t xml:space="preserve"> as the single store for it, and — while the gap in </w:t>
            </w:r>
            <w:r>
              <w:rPr>
                <w:rStyle w:val="SourceText"/>
              </w:rPr>
              <w:t>SOP-02</w:t>
            </w:r>
            <w:r>
              <w:rPr/>
              <w:t xml:space="preserve"> §12 remains open — that no backup of that volume is provided by Ajace AI.</w:t>
            </w:r>
          </w:p>
        </w:tc>
      </w:tr>
      <w:tr>
        <w:trPr/>
        <w:tc>
          <w:tcPr>
            <w:tcW w:w="1803" w:type="dxa"/>
            <w:tcBorders/>
            <w:vAlign w:val="center"/>
          </w:tcPr>
          <w:p>
            <w:pPr>
              <w:pStyle w:val="TableContents"/>
              <w:bidi w:val="0"/>
              <w:spacing w:before="0" w:after="283"/>
              <w:jc w:val="left"/>
              <w:rPr/>
            </w:pPr>
            <w:r>
              <w:rPr/>
              <w:t>Specific requirements for contingency actions</w:t>
            </w:r>
          </w:p>
        </w:tc>
        <w:tc>
          <w:tcPr>
            <w:tcW w:w="9536" w:type="dxa"/>
            <w:tcBorders/>
            <w:vAlign w:val="center"/>
          </w:tcPr>
          <w:p>
            <w:pPr>
              <w:pStyle w:val="TableContents"/>
              <w:bidi w:val="0"/>
              <w:spacing w:before="0" w:after="283"/>
              <w:jc w:val="left"/>
              <w:rPr/>
            </w:pPr>
            <w:r>
              <w:rPr/>
              <w:t>Where the engagement warrants it, the requirements record states what happens on a model-serving failure, a hardware failure and an Ajace AI availability failure. The last of these must be stated honestly given the single-person constraint.</w:t>
            </w:r>
          </w:p>
        </w:tc>
      </w:tr>
    </w:tbl>
    <w:p>
      <w:pPr>
        <w:pStyle w:val="BodyText"/>
        <w:bidi w:val="0"/>
        <w:jc w:val="left"/>
        <w:rPr/>
      </w:pPr>
      <w:r>
        <w:rPr>
          <w:rStyle w:val="Strong"/>
        </w:rPr>
        <w:t>Public-facing deployment.</w:t>
      </w:r>
      <w:r>
        <w:rPr/>
        <w:t xml:space="preserve"> A demonstration instance runs at echomind-ajace.com behind Cloudflare Access (</w:t>
      </w:r>
      <w:r>
        <w:rPr>
          <w:rStyle w:val="SourceText"/>
        </w:rPr>
        <w:t>docs/PUBLIC_DEPLOYMENT.md</w:t>
      </w:r>
      <w:r>
        <w:rPr/>
        <w:t xml:space="preserve"> step 4, marked MANDATORY). Anyone granted access to it is told in writing what it is — a demonstration containing seeded demonstration material — and that it must not be used with real customer data.</w:t>
      </w:r>
    </w:p>
    <w:p>
      <w:pPr>
        <w:pStyle w:val="Heading2"/>
        <w:bidi w:val="0"/>
        <w:jc w:val="left"/>
        <w:rPr/>
      </w:pPr>
      <w:r>
        <w:rPr/>
        <w:t>8. Complaints</w:t>
      </w:r>
    </w:p>
    <w:p>
      <w:pPr>
        <w:pStyle w:val="BodyText"/>
        <w:bidi w:val="0"/>
        <w:jc w:val="left"/>
        <w:rPr/>
      </w:pPr>
      <w:r>
        <w:rPr/>
        <w:t>A complaint is any expression of dissatisfaction, however it arrives and however informally it is phrased. It does not need the word "complaint" to be one.</w:t>
      </w:r>
    </w:p>
    <w:tbl>
      <w:tblPr>
        <w:tblW w:w="11339" w:type="dxa"/>
        <w:jc w:val="left"/>
        <w:tblInd w:w="0" w:type="dxa"/>
        <w:tblLayout w:type="fixed"/>
        <w:tblCellMar>
          <w:top w:w="28" w:type="dxa"/>
          <w:left w:w="28" w:type="dxa"/>
          <w:bottom w:w="28" w:type="dxa"/>
          <w:right w:w="28" w:type="dxa"/>
        </w:tblCellMar>
      </w:tblPr>
      <w:tblGrid>
        <w:gridCol w:w="2816"/>
        <w:gridCol w:w="1221"/>
        <w:gridCol w:w="3262"/>
        <w:gridCol w:w="4040"/>
      </w:tblGrid>
      <w:tr>
        <w:trPr>
          <w:tblHeader w:val="true"/>
        </w:trPr>
        <w:tc>
          <w:tcPr>
            <w:tcW w:w="2816" w:type="dxa"/>
            <w:tcBorders/>
            <w:vAlign w:val="center"/>
          </w:tcPr>
          <w:p>
            <w:pPr>
              <w:pStyle w:val="TableHeading"/>
              <w:suppressLineNumbers/>
              <w:shd w:fill="1F3A5F" w:val="clear"/>
              <w:bidi w:val="0"/>
              <w:spacing w:before="0" w:after="283"/>
              <w:jc w:val="center"/>
              <w:rPr/>
            </w:pPr>
            <w:r>
              <w:rPr/>
              <w:t>Step</w:t>
            </w:r>
          </w:p>
        </w:tc>
        <w:tc>
          <w:tcPr>
            <w:tcW w:w="1221" w:type="dxa"/>
            <w:tcBorders/>
            <w:vAlign w:val="center"/>
          </w:tcPr>
          <w:p>
            <w:pPr>
              <w:pStyle w:val="TableHeading"/>
              <w:suppressLineNumbers/>
              <w:shd w:fill="1F3A5F" w:val="clear"/>
              <w:bidi w:val="0"/>
              <w:spacing w:before="0" w:after="283"/>
              <w:jc w:val="center"/>
              <w:rPr/>
            </w:pPr>
            <w:r>
              <w:rPr/>
              <w:t>Who</w:t>
            </w:r>
          </w:p>
        </w:tc>
        <w:tc>
          <w:tcPr>
            <w:tcW w:w="3262" w:type="dxa"/>
            <w:tcBorders/>
            <w:vAlign w:val="center"/>
          </w:tcPr>
          <w:p>
            <w:pPr>
              <w:pStyle w:val="TableHeading"/>
              <w:suppressLineNumbers/>
              <w:shd w:fill="1F3A5F" w:val="clear"/>
              <w:bidi w:val="0"/>
              <w:spacing w:before="0" w:after="283"/>
              <w:jc w:val="center"/>
              <w:rPr/>
            </w:pPr>
            <w:r>
              <w:rPr/>
              <w:t>Timescale</w:t>
            </w:r>
          </w:p>
        </w:tc>
        <w:tc>
          <w:tcPr>
            <w:tcW w:w="4040" w:type="dxa"/>
            <w:tcBorders/>
            <w:vAlign w:val="center"/>
          </w:tcPr>
          <w:p>
            <w:pPr>
              <w:pStyle w:val="TableHeading"/>
              <w:suppressLineNumbers/>
              <w:shd w:fill="1F3A5F" w:val="clear"/>
              <w:bidi w:val="0"/>
              <w:spacing w:before="0" w:after="283"/>
              <w:jc w:val="center"/>
              <w:rPr/>
            </w:pPr>
            <w:r>
              <w:rPr/>
              <w:t>Record</w:t>
            </w:r>
          </w:p>
        </w:tc>
      </w:tr>
      <w:tr>
        <w:trPr/>
        <w:tc>
          <w:tcPr>
            <w:tcW w:w="2816" w:type="dxa"/>
            <w:tcBorders/>
            <w:vAlign w:val="center"/>
          </w:tcPr>
          <w:p>
            <w:pPr>
              <w:pStyle w:val="TableContents"/>
              <w:bidi w:val="0"/>
              <w:spacing w:before="0" w:after="283"/>
              <w:jc w:val="left"/>
              <w:rPr/>
            </w:pPr>
            <w:r>
              <w:rPr/>
              <w:t>Acknowledge receipt to the customer</w:t>
            </w:r>
          </w:p>
        </w:tc>
        <w:tc>
          <w:tcPr>
            <w:tcW w:w="1221" w:type="dxa"/>
            <w:tcBorders/>
            <w:vAlign w:val="center"/>
          </w:tcPr>
          <w:p>
            <w:pPr>
              <w:pStyle w:val="TableContents"/>
              <w:bidi w:val="0"/>
              <w:spacing w:before="0" w:after="283"/>
              <w:jc w:val="left"/>
              <w:rPr/>
            </w:pPr>
            <w:r>
              <w:rPr/>
              <w:t>Managing Director</w:t>
            </w:r>
          </w:p>
        </w:tc>
        <w:tc>
          <w:tcPr>
            <w:tcW w:w="3262" w:type="dxa"/>
            <w:tcBorders/>
            <w:vAlign w:val="center"/>
          </w:tcPr>
          <w:p>
            <w:pPr>
              <w:pStyle w:val="TableContents"/>
              <w:bidi w:val="0"/>
              <w:spacing w:before="0" w:after="283"/>
              <w:jc w:val="left"/>
              <w:rPr/>
            </w:pPr>
            <w:r>
              <w:rPr/>
              <w:t>2 working days</w:t>
            </w:r>
          </w:p>
        </w:tc>
        <w:tc>
          <w:tcPr>
            <w:tcW w:w="4040" w:type="dxa"/>
            <w:tcBorders/>
            <w:vAlign w:val="center"/>
          </w:tcPr>
          <w:p>
            <w:pPr>
              <w:pStyle w:val="TableContents"/>
              <w:bidi w:val="0"/>
              <w:spacing w:before="0" w:after="283"/>
              <w:jc w:val="left"/>
              <w:rPr/>
            </w:pPr>
            <w:r>
              <w:rPr/>
              <w:t xml:space="preserve">Entry in </w:t>
            </w:r>
            <w:r>
              <w:rPr>
                <w:rStyle w:val="SourceText"/>
              </w:rPr>
              <w:t>registers/REG-06_Customer_Feedback_and_Complaints_Log.md</w:t>
            </w:r>
          </w:p>
        </w:tc>
      </w:tr>
      <w:tr>
        <w:trPr/>
        <w:tc>
          <w:tcPr>
            <w:tcW w:w="2816" w:type="dxa"/>
            <w:tcBorders/>
            <w:vAlign w:val="center"/>
          </w:tcPr>
          <w:p>
            <w:pPr>
              <w:pStyle w:val="TableContents"/>
              <w:bidi w:val="0"/>
              <w:spacing w:before="0" w:after="283"/>
              <w:jc w:val="left"/>
              <w:rPr/>
            </w:pPr>
            <w:r>
              <w:rPr/>
              <w:t>Contain — stop any continuing harm</w:t>
            </w:r>
          </w:p>
        </w:tc>
        <w:tc>
          <w:tcPr>
            <w:tcW w:w="1221" w:type="dxa"/>
            <w:tcBorders/>
            <w:vAlign w:val="center"/>
          </w:tcPr>
          <w:p>
            <w:pPr>
              <w:pStyle w:val="TableContents"/>
              <w:bidi w:val="0"/>
              <w:spacing w:before="0" w:after="283"/>
              <w:jc w:val="left"/>
              <w:rPr/>
            </w:pPr>
            <w:r>
              <w:rPr/>
              <w:t>Lead Engineer</w:t>
            </w:r>
          </w:p>
        </w:tc>
        <w:tc>
          <w:tcPr>
            <w:tcW w:w="3262" w:type="dxa"/>
            <w:tcBorders/>
            <w:vAlign w:val="center"/>
          </w:tcPr>
          <w:p>
            <w:pPr>
              <w:pStyle w:val="TableContents"/>
              <w:bidi w:val="0"/>
              <w:spacing w:before="0" w:after="283"/>
              <w:jc w:val="left"/>
              <w:rPr/>
            </w:pPr>
            <w:r>
              <w:rPr/>
              <w:t>Immediately where data or grounding is affected</w:t>
            </w:r>
          </w:p>
        </w:tc>
        <w:tc>
          <w:tcPr>
            <w:tcW w:w="4040" w:type="dxa"/>
            <w:tcBorders/>
            <w:vAlign w:val="center"/>
          </w:tcPr>
          <w:p>
            <w:pPr>
              <w:pStyle w:val="TableContents"/>
              <w:bidi w:val="0"/>
              <w:spacing w:before="0" w:after="283"/>
              <w:jc w:val="left"/>
              <w:rPr/>
            </w:pPr>
            <w:r>
              <w:rPr/>
              <w:t>The containing change, cited by commit</w:t>
            </w:r>
          </w:p>
        </w:tc>
      </w:tr>
      <w:tr>
        <w:trPr/>
        <w:tc>
          <w:tcPr>
            <w:tcW w:w="2816" w:type="dxa"/>
            <w:tcBorders/>
            <w:vAlign w:val="center"/>
          </w:tcPr>
          <w:p>
            <w:pPr>
              <w:pStyle w:val="TableContents"/>
              <w:bidi w:val="0"/>
              <w:spacing w:before="0" w:after="283"/>
              <w:jc w:val="left"/>
              <w:rPr/>
            </w:pPr>
            <w:r>
              <w:rPr/>
              <w:t>Investigate and determine the cause</w:t>
            </w:r>
          </w:p>
        </w:tc>
        <w:tc>
          <w:tcPr>
            <w:tcW w:w="1221" w:type="dxa"/>
            <w:tcBorders/>
            <w:vAlign w:val="center"/>
          </w:tcPr>
          <w:p>
            <w:pPr>
              <w:pStyle w:val="TableContents"/>
              <w:bidi w:val="0"/>
              <w:spacing w:before="0" w:after="283"/>
              <w:jc w:val="left"/>
              <w:rPr/>
            </w:pPr>
            <w:r>
              <w:rPr/>
              <w:t>Lead Engineer</w:t>
            </w:r>
          </w:p>
        </w:tc>
        <w:tc>
          <w:tcPr>
            <w:tcW w:w="3262" w:type="dxa"/>
            <w:tcBorders/>
            <w:vAlign w:val="center"/>
          </w:tcPr>
          <w:p>
            <w:pPr>
              <w:pStyle w:val="TableContents"/>
              <w:bidi w:val="0"/>
              <w:spacing w:before="0" w:after="283"/>
              <w:jc w:val="left"/>
              <w:rPr/>
            </w:pPr>
            <w:r>
              <w:rPr/>
              <w:t>10 working days, or a stated longer period agreed with the customer</w:t>
            </w:r>
          </w:p>
        </w:tc>
        <w:tc>
          <w:tcPr>
            <w:tcW w:w="4040" w:type="dxa"/>
            <w:tcBorders/>
            <w:vAlign w:val="center"/>
          </w:tcPr>
          <w:p>
            <w:pPr>
              <w:pStyle w:val="TableContents"/>
              <w:bidi w:val="0"/>
              <w:spacing w:before="0" w:after="283"/>
              <w:jc w:val="left"/>
              <w:rPr/>
            </w:pPr>
            <w:r>
              <w:rPr/>
              <w:t xml:space="preserve">Nonconformity record under </w:t>
            </w:r>
            <w:r>
              <w:rPr>
                <w:rStyle w:val="SourceText"/>
              </w:rPr>
              <w:t>SOP-14</w:t>
            </w:r>
            <w:r>
              <w:rPr/>
              <w:t xml:space="preserve"> where the complaint is valid</w:t>
            </w:r>
          </w:p>
        </w:tc>
      </w:tr>
      <w:tr>
        <w:trPr/>
        <w:tc>
          <w:tcPr>
            <w:tcW w:w="2816" w:type="dxa"/>
            <w:tcBorders/>
            <w:vAlign w:val="center"/>
          </w:tcPr>
          <w:p>
            <w:pPr>
              <w:pStyle w:val="TableContents"/>
              <w:bidi w:val="0"/>
              <w:spacing w:before="0" w:after="283"/>
              <w:jc w:val="left"/>
              <w:rPr/>
            </w:pPr>
            <w:r>
              <w:rPr/>
              <w:t>Respond to the customer with the finding and the action</w:t>
            </w:r>
          </w:p>
        </w:tc>
        <w:tc>
          <w:tcPr>
            <w:tcW w:w="1221" w:type="dxa"/>
            <w:tcBorders/>
            <w:vAlign w:val="center"/>
          </w:tcPr>
          <w:p>
            <w:pPr>
              <w:pStyle w:val="TableContents"/>
              <w:bidi w:val="0"/>
              <w:spacing w:before="0" w:after="283"/>
              <w:jc w:val="left"/>
              <w:rPr/>
            </w:pPr>
            <w:r>
              <w:rPr/>
              <w:t>Managing Director</w:t>
            </w:r>
          </w:p>
        </w:tc>
        <w:tc>
          <w:tcPr>
            <w:tcW w:w="3262" w:type="dxa"/>
            <w:tcBorders/>
            <w:vAlign w:val="center"/>
          </w:tcPr>
          <w:p>
            <w:pPr>
              <w:pStyle w:val="TableContents"/>
              <w:bidi w:val="0"/>
              <w:spacing w:before="0" w:after="283"/>
              <w:jc w:val="left"/>
              <w:rPr/>
            </w:pPr>
            <w:r>
              <w:rPr/>
              <w:t>On completion of the investigation</w:t>
            </w:r>
          </w:p>
        </w:tc>
        <w:tc>
          <w:tcPr>
            <w:tcW w:w="4040" w:type="dxa"/>
            <w:tcBorders/>
            <w:vAlign w:val="center"/>
          </w:tcPr>
          <w:p>
            <w:pPr>
              <w:pStyle w:val="TableContents"/>
              <w:bidi w:val="0"/>
              <w:spacing w:before="0" w:after="283"/>
              <w:jc w:val="left"/>
              <w:rPr/>
            </w:pPr>
            <w:r>
              <w:rPr/>
              <w:t>The response, filed against the register entry</w:t>
            </w:r>
          </w:p>
        </w:tc>
      </w:tr>
      <w:tr>
        <w:trPr/>
        <w:tc>
          <w:tcPr>
            <w:tcW w:w="2816" w:type="dxa"/>
            <w:tcBorders/>
            <w:vAlign w:val="center"/>
          </w:tcPr>
          <w:p>
            <w:pPr>
              <w:pStyle w:val="TableContents"/>
              <w:bidi w:val="0"/>
              <w:spacing w:before="0" w:after="283"/>
              <w:jc w:val="left"/>
              <w:rPr/>
            </w:pPr>
            <w:r>
              <w:rPr/>
              <w:t>Close, and check the action worked</w:t>
            </w:r>
          </w:p>
        </w:tc>
        <w:tc>
          <w:tcPr>
            <w:tcW w:w="1221" w:type="dxa"/>
            <w:tcBorders/>
            <w:vAlign w:val="center"/>
          </w:tcPr>
          <w:p>
            <w:pPr>
              <w:pStyle w:val="TableContents"/>
              <w:bidi w:val="0"/>
              <w:spacing w:before="0" w:after="283"/>
              <w:jc w:val="left"/>
              <w:rPr/>
            </w:pPr>
            <w:r>
              <w:rPr/>
              <w:t>Managing Director</w:t>
            </w:r>
          </w:p>
        </w:tc>
        <w:tc>
          <w:tcPr>
            <w:tcW w:w="3262" w:type="dxa"/>
            <w:tcBorders/>
            <w:vAlign w:val="center"/>
          </w:tcPr>
          <w:p>
            <w:pPr>
              <w:pStyle w:val="TableContents"/>
              <w:bidi w:val="0"/>
              <w:spacing w:before="0" w:after="283"/>
              <w:jc w:val="left"/>
              <w:rPr/>
            </w:pPr>
            <w:r>
              <w:rPr/>
              <w:t>At the next management review</w:t>
            </w:r>
          </w:p>
        </w:tc>
        <w:tc>
          <w:tcPr>
            <w:tcW w:w="4040" w:type="dxa"/>
            <w:tcBorders/>
            <w:vAlign w:val="center"/>
          </w:tcPr>
          <w:p>
            <w:pPr>
              <w:pStyle w:val="TableContents"/>
              <w:bidi w:val="0"/>
              <w:spacing w:before="0" w:after="283"/>
              <w:jc w:val="left"/>
              <w:rPr/>
            </w:pPr>
            <w:r>
              <w:rPr>
                <w:rStyle w:val="SourceText"/>
              </w:rPr>
              <w:t>SOP-15</w:t>
            </w:r>
            <w:r>
              <w:rPr/>
              <w:t xml:space="preserve"> minutes</w:t>
            </w:r>
          </w:p>
        </w:tc>
      </w:tr>
    </w:tbl>
    <w:p>
      <w:pPr>
        <w:pStyle w:val="BodyText"/>
        <w:bidi w:val="0"/>
        <w:jc w:val="left"/>
        <w:rPr/>
      </w:pPr>
      <w:r>
        <w:rPr/>
        <w:t xml:space="preserve">A complaint about an ungrounded, fabricated or misattributed answer is treated as the highest severity class of defect under </w:t>
      </w:r>
      <w:r>
        <w:rPr>
          <w:rStyle w:val="SourceText"/>
        </w:rPr>
        <w:t>QP-01</w:t>
      </w:r>
      <w:r>
        <w:rPr/>
        <w:t xml:space="preserve"> §2.1, and is investigated whether or not the customer describes it as serious.</w:t>
      </w:r>
    </w:p>
    <w:p>
      <w:pPr>
        <w:pStyle w:val="Heading2"/>
        <w:bidi w:val="0"/>
        <w:jc w:val="left"/>
        <w:rPr/>
      </w:pPr>
      <w:r>
        <w:rPr/>
        <w:t>9. Monitoring customer satisfaction (9.1.2)</w:t>
      </w:r>
    </w:p>
    <w:p>
      <w:pPr>
        <w:pStyle w:val="BodyText"/>
        <w:bidi w:val="0"/>
        <w:jc w:val="left"/>
        <w:rPr/>
      </w:pPr>
      <w:r>
        <w:rPr/>
        <w:t>ISO 9001:2015 9.1.2 requires the organisation to monitor customers' perceptions of the degree to which their needs and expectations have been fulfilled, and to determine the methods for doing so. The methods determined for Ajace AI are:</w:t>
      </w:r>
    </w:p>
    <w:tbl>
      <w:tblPr>
        <w:tblW w:w="11339" w:type="dxa"/>
        <w:jc w:val="left"/>
        <w:tblInd w:w="0" w:type="dxa"/>
        <w:tblLayout w:type="fixed"/>
        <w:tblCellMar>
          <w:top w:w="28" w:type="dxa"/>
          <w:left w:w="28" w:type="dxa"/>
          <w:bottom w:w="28" w:type="dxa"/>
          <w:right w:w="28" w:type="dxa"/>
        </w:tblCellMar>
      </w:tblPr>
      <w:tblGrid>
        <w:gridCol w:w="4304"/>
        <w:gridCol w:w="1184"/>
        <w:gridCol w:w="1809"/>
        <w:gridCol w:w="4042"/>
      </w:tblGrid>
      <w:tr>
        <w:trPr>
          <w:tblHeader w:val="true"/>
        </w:trPr>
        <w:tc>
          <w:tcPr>
            <w:tcW w:w="4304" w:type="dxa"/>
            <w:tcBorders/>
            <w:vAlign w:val="center"/>
          </w:tcPr>
          <w:p>
            <w:pPr>
              <w:pStyle w:val="TableHeading"/>
              <w:suppressLineNumbers/>
              <w:shd w:fill="1F3A5F" w:val="clear"/>
              <w:bidi w:val="0"/>
              <w:spacing w:before="0" w:after="283"/>
              <w:jc w:val="center"/>
              <w:rPr/>
            </w:pPr>
            <w:r>
              <w:rPr/>
              <w:t>Method</w:t>
            </w:r>
          </w:p>
        </w:tc>
        <w:tc>
          <w:tcPr>
            <w:tcW w:w="1184" w:type="dxa"/>
            <w:tcBorders/>
            <w:vAlign w:val="center"/>
          </w:tcPr>
          <w:p>
            <w:pPr>
              <w:pStyle w:val="TableHeading"/>
              <w:suppressLineNumbers/>
              <w:shd w:fill="1F3A5F" w:val="clear"/>
              <w:bidi w:val="0"/>
              <w:spacing w:before="0" w:after="283"/>
              <w:jc w:val="center"/>
              <w:rPr/>
            </w:pPr>
            <w:r>
              <w:rPr/>
              <w:t>When</w:t>
            </w:r>
          </w:p>
        </w:tc>
        <w:tc>
          <w:tcPr>
            <w:tcW w:w="1809" w:type="dxa"/>
            <w:tcBorders/>
            <w:vAlign w:val="center"/>
          </w:tcPr>
          <w:p>
            <w:pPr>
              <w:pStyle w:val="TableHeading"/>
              <w:suppressLineNumbers/>
              <w:shd w:fill="1F3A5F" w:val="clear"/>
              <w:bidi w:val="0"/>
              <w:spacing w:before="0" w:after="283"/>
              <w:jc w:val="center"/>
              <w:rPr/>
            </w:pPr>
            <w:r>
              <w:rPr/>
              <w:t>Who</w:t>
            </w:r>
          </w:p>
        </w:tc>
        <w:tc>
          <w:tcPr>
            <w:tcW w:w="4042" w:type="dxa"/>
            <w:tcBorders/>
            <w:vAlign w:val="center"/>
          </w:tcPr>
          <w:p>
            <w:pPr>
              <w:pStyle w:val="TableHeading"/>
              <w:suppressLineNumbers/>
              <w:shd w:fill="1F3A5F" w:val="clear"/>
              <w:bidi w:val="0"/>
              <w:spacing w:before="0" w:after="283"/>
              <w:jc w:val="center"/>
              <w:rPr/>
            </w:pPr>
            <w:r>
              <w:rPr/>
              <w:t>Record</w:t>
            </w:r>
          </w:p>
        </w:tc>
      </w:tr>
      <w:tr>
        <w:trPr/>
        <w:tc>
          <w:tcPr>
            <w:tcW w:w="4304" w:type="dxa"/>
            <w:tcBorders/>
            <w:vAlign w:val="center"/>
          </w:tcPr>
          <w:p>
            <w:pPr>
              <w:pStyle w:val="TableContents"/>
              <w:bidi w:val="0"/>
              <w:spacing w:before="0" w:after="283"/>
              <w:jc w:val="left"/>
              <w:rPr/>
            </w:pPr>
            <w:r>
              <w:rPr/>
              <w:t>Structured handover review at the end of each engagement, against the acceptance criteria agreed in §5</w:t>
            </w:r>
          </w:p>
        </w:tc>
        <w:tc>
          <w:tcPr>
            <w:tcW w:w="1184" w:type="dxa"/>
            <w:tcBorders/>
            <w:vAlign w:val="center"/>
          </w:tcPr>
          <w:p>
            <w:pPr>
              <w:pStyle w:val="TableContents"/>
              <w:bidi w:val="0"/>
              <w:spacing w:before="0" w:after="283"/>
              <w:jc w:val="left"/>
              <w:rPr/>
            </w:pPr>
            <w:r>
              <w:rPr/>
              <w:t>At handover</w:t>
            </w:r>
          </w:p>
        </w:tc>
        <w:tc>
          <w:tcPr>
            <w:tcW w:w="1809" w:type="dxa"/>
            <w:tcBorders/>
            <w:vAlign w:val="center"/>
          </w:tcPr>
          <w:p>
            <w:pPr>
              <w:pStyle w:val="TableContents"/>
              <w:bidi w:val="0"/>
              <w:spacing w:before="0" w:after="283"/>
              <w:jc w:val="left"/>
              <w:rPr/>
            </w:pPr>
            <w:r>
              <w:rPr/>
              <w:t>Managing Director with the customer</w:t>
            </w:r>
          </w:p>
        </w:tc>
        <w:tc>
          <w:tcPr>
            <w:tcW w:w="4042" w:type="dxa"/>
            <w:tcBorders/>
            <w:vAlign w:val="center"/>
          </w:tcPr>
          <w:p>
            <w:pPr>
              <w:pStyle w:val="TableContents"/>
              <w:bidi w:val="0"/>
              <w:spacing w:before="0" w:after="283"/>
              <w:jc w:val="left"/>
              <w:rPr/>
            </w:pPr>
            <w:r>
              <w:rPr>
                <w:rStyle w:val="SourceText"/>
              </w:rPr>
              <w:t>forms/FRM-12_Customer_Satisfaction_Review.md</w:t>
            </w:r>
            <w:r>
              <w:rPr/>
              <w:t xml:space="preserve">, filed in </w:t>
            </w:r>
            <w:r>
              <w:rPr>
                <w:rStyle w:val="SourceText"/>
              </w:rPr>
              <w:t>registers/REG-06</w:t>
            </w:r>
          </w:p>
        </w:tc>
      </w:tr>
      <w:tr>
        <w:trPr/>
        <w:tc>
          <w:tcPr>
            <w:tcW w:w="4304" w:type="dxa"/>
            <w:tcBorders/>
            <w:vAlign w:val="center"/>
          </w:tcPr>
          <w:p>
            <w:pPr>
              <w:pStyle w:val="TableContents"/>
              <w:bidi w:val="0"/>
              <w:spacing w:before="0" w:after="283"/>
              <w:jc w:val="left"/>
              <w:rPr/>
            </w:pPr>
            <w:r>
              <w:rPr/>
              <w:t>Review call at 3 months and at 12 months after handover</w:t>
            </w:r>
          </w:p>
        </w:tc>
        <w:tc>
          <w:tcPr>
            <w:tcW w:w="1184" w:type="dxa"/>
            <w:tcBorders/>
            <w:vAlign w:val="center"/>
          </w:tcPr>
          <w:p>
            <w:pPr>
              <w:pStyle w:val="TableContents"/>
              <w:bidi w:val="0"/>
              <w:spacing w:before="0" w:after="283"/>
              <w:jc w:val="left"/>
              <w:rPr/>
            </w:pPr>
            <w:r>
              <w:rPr/>
              <w:t>3 and 12 months</w:t>
            </w:r>
          </w:p>
        </w:tc>
        <w:tc>
          <w:tcPr>
            <w:tcW w:w="1809" w:type="dxa"/>
            <w:tcBorders/>
            <w:vAlign w:val="center"/>
          </w:tcPr>
          <w:p>
            <w:pPr>
              <w:pStyle w:val="TableContents"/>
              <w:bidi w:val="0"/>
              <w:spacing w:before="0" w:after="283"/>
              <w:jc w:val="left"/>
              <w:rPr/>
            </w:pPr>
            <w:r>
              <w:rPr/>
              <w:t>Managing Director</w:t>
            </w:r>
          </w:p>
        </w:tc>
        <w:tc>
          <w:tcPr>
            <w:tcW w:w="4042" w:type="dxa"/>
            <w:tcBorders/>
            <w:vAlign w:val="center"/>
          </w:tcPr>
          <w:p>
            <w:pPr>
              <w:pStyle w:val="TableContents"/>
              <w:bidi w:val="0"/>
              <w:spacing w:before="0" w:after="283"/>
              <w:jc w:val="left"/>
              <w:rPr/>
            </w:pPr>
            <w:r>
              <w:rPr/>
              <w:t>As above</w:t>
            </w:r>
          </w:p>
        </w:tc>
      </w:tr>
      <w:tr>
        <w:trPr/>
        <w:tc>
          <w:tcPr>
            <w:tcW w:w="4304" w:type="dxa"/>
            <w:tcBorders/>
            <w:vAlign w:val="center"/>
          </w:tcPr>
          <w:p>
            <w:pPr>
              <w:pStyle w:val="TableContents"/>
              <w:bidi w:val="0"/>
              <w:spacing w:before="0" w:after="283"/>
              <w:jc w:val="left"/>
              <w:rPr/>
            </w:pPr>
            <w:r>
              <w:rPr/>
              <w:t>Unsolicited feedback — anything the customer says or writes, positive or negative</w:t>
            </w:r>
          </w:p>
        </w:tc>
        <w:tc>
          <w:tcPr>
            <w:tcW w:w="1184" w:type="dxa"/>
            <w:tcBorders/>
            <w:vAlign w:val="center"/>
          </w:tcPr>
          <w:p>
            <w:pPr>
              <w:pStyle w:val="TableContents"/>
              <w:bidi w:val="0"/>
              <w:spacing w:before="0" w:after="283"/>
              <w:jc w:val="left"/>
              <w:rPr/>
            </w:pPr>
            <w:r>
              <w:rPr/>
              <w:t>On receipt</w:t>
            </w:r>
          </w:p>
        </w:tc>
        <w:tc>
          <w:tcPr>
            <w:tcW w:w="1809" w:type="dxa"/>
            <w:tcBorders/>
            <w:vAlign w:val="center"/>
          </w:tcPr>
          <w:p>
            <w:pPr>
              <w:pStyle w:val="TableContents"/>
              <w:bidi w:val="0"/>
              <w:spacing w:before="0" w:after="283"/>
              <w:jc w:val="left"/>
              <w:rPr/>
            </w:pPr>
            <w:r>
              <w:rPr/>
              <w:t>Whoever receives it</w:t>
            </w:r>
          </w:p>
        </w:tc>
        <w:tc>
          <w:tcPr>
            <w:tcW w:w="4042" w:type="dxa"/>
            <w:tcBorders/>
            <w:vAlign w:val="center"/>
          </w:tcPr>
          <w:p>
            <w:pPr>
              <w:pStyle w:val="TableContents"/>
              <w:bidi w:val="0"/>
              <w:spacing w:before="0" w:after="283"/>
              <w:jc w:val="left"/>
              <w:rPr/>
            </w:pPr>
            <w:r>
              <w:rPr>
                <w:rStyle w:val="SourceText"/>
              </w:rPr>
              <w:t>registers/REG-06</w:t>
            </w:r>
          </w:p>
        </w:tc>
      </w:tr>
      <w:tr>
        <w:trPr/>
        <w:tc>
          <w:tcPr>
            <w:tcW w:w="4304" w:type="dxa"/>
            <w:tcBorders/>
            <w:vAlign w:val="center"/>
          </w:tcPr>
          <w:p>
            <w:pPr>
              <w:pStyle w:val="TableContents"/>
              <w:bidi w:val="0"/>
              <w:spacing w:before="0" w:after="283"/>
              <w:jc w:val="left"/>
              <w:rPr/>
            </w:pPr>
            <w:r>
              <w:rPr/>
              <w:t>Complaints, as a negative satisfaction signal</w:t>
            </w:r>
          </w:p>
        </w:tc>
        <w:tc>
          <w:tcPr>
            <w:tcW w:w="1184" w:type="dxa"/>
            <w:tcBorders/>
            <w:vAlign w:val="center"/>
          </w:tcPr>
          <w:p>
            <w:pPr>
              <w:pStyle w:val="TableContents"/>
              <w:bidi w:val="0"/>
              <w:spacing w:before="0" w:after="283"/>
              <w:jc w:val="left"/>
              <w:rPr/>
            </w:pPr>
            <w:r>
              <w:rPr/>
              <w:t>On receipt</w:t>
            </w:r>
          </w:p>
        </w:tc>
        <w:tc>
          <w:tcPr>
            <w:tcW w:w="1809" w:type="dxa"/>
            <w:tcBorders/>
            <w:vAlign w:val="center"/>
          </w:tcPr>
          <w:p>
            <w:pPr>
              <w:pStyle w:val="TableContents"/>
              <w:bidi w:val="0"/>
              <w:spacing w:before="0" w:after="283"/>
              <w:jc w:val="left"/>
              <w:rPr/>
            </w:pPr>
            <w:r>
              <w:rPr/>
              <w:t>Managing Director</w:t>
            </w:r>
          </w:p>
        </w:tc>
        <w:tc>
          <w:tcPr>
            <w:tcW w:w="4042" w:type="dxa"/>
            <w:tcBorders/>
            <w:vAlign w:val="center"/>
          </w:tcPr>
          <w:p>
            <w:pPr>
              <w:pStyle w:val="TableContents"/>
              <w:bidi w:val="0"/>
              <w:spacing w:before="0" w:after="283"/>
              <w:jc w:val="left"/>
              <w:rPr/>
            </w:pPr>
            <w:r>
              <w:rPr>
                <w:rStyle w:val="SourceText"/>
              </w:rPr>
              <w:t>registers/REG-06</w:t>
            </w:r>
            <w:r>
              <w:rPr/>
              <w:t xml:space="preserve"> and </w:t>
            </w:r>
            <w:r>
              <w:rPr>
                <w:rStyle w:val="SourceText"/>
              </w:rPr>
              <w:t>SOP-14</w:t>
            </w:r>
          </w:p>
        </w:tc>
      </w:tr>
      <w:tr>
        <w:trPr/>
        <w:tc>
          <w:tcPr>
            <w:tcW w:w="4304" w:type="dxa"/>
            <w:tcBorders/>
            <w:vAlign w:val="center"/>
          </w:tcPr>
          <w:p>
            <w:pPr>
              <w:pStyle w:val="TableContents"/>
              <w:bidi w:val="0"/>
              <w:spacing w:before="0" w:after="283"/>
              <w:jc w:val="left"/>
              <w:rPr/>
            </w:pPr>
            <w:r>
              <w:rPr/>
              <w:t>Usage signals from the deployed system, where the customer has agreed they may be shared</w:t>
            </w:r>
          </w:p>
        </w:tc>
        <w:tc>
          <w:tcPr>
            <w:tcW w:w="1184" w:type="dxa"/>
            <w:tcBorders/>
            <w:vAlign w:val="center"/>
          </w:tcPr>
          <w:p>
            <w:pPr>
              <w:pStyle w:val="TableContents"/>
              <w:bidi w:val="0"/>
              <w:spacing w:before="0" w:after="283"/>
              <w:jc w:val="left"/>
              <w:rPr/>
            </w:pPr>
            <w:r>
              <w:rPr/>
              <w:t>Continuous</w:t>
            </w:r>
          </w:p>
        </w:tc>
        <w:tc>
          <w:tcPr>
            <w:tcW w:w="1809" w:type="dxa"/>
            <w:tcBorders/>
            <w:vAlign w:val="center"/>
          </w:tcPr>
          <w:p>
            <w:pPr>
              <w:pStyle w:val="TableContents"/>
              <w:bidi w:val="0"/>
              <w:spacing w:before="0" w:after="283"/>
              <w:jc w:val="left"/>
              <w:rPr/>
            </w:pPr>
            <w:r>
              <w:rPr/>
              <w:t>Lead Engineer</w:t>
            </w:r>
          </w:p>
        </w:tc>
        <w:tc>
          <w:tcPr>
            <w:tcW w:w="4042" w:type="dxa"/>
            <w:tcBorders/>
            <w:vAlign w:val="center"/>
          </w:tcPr>
          <w:p>
            <w:pPr>
              <w:pStyle w:val="TableContents"/>
              <w:bidi w:val="0"/>
              <w:spacing w:before="0" w:after="283"/>
              <w:jc w:val="left"/>
              <w:rPr/>
            </w:pPr>
            <w:r>
              <w:rPr/>
              <w:t>Summarised into the management review</w:t>
            </w:r>
          </w:p>
        </w:tc>
      </w:tr>
    </w:tbl>
    <w:p>
      <w:pPr>
        <w:pStyle w:val="BodyText"/>
        <w:bidi w:val="0"/>
        <w:jc w:val="left"/>
        <w:rPr/>
      </w:pPr>
      <w:r>
        <w:rPr/>
        <w:t>The results are analysed at each management review (</w:t>
      </w:r>
      <w:r>
        <w:rPr>
          <w:rStyle w:val="SourceText"/>
        </w:rPr>
        <w:t>SOP-15</w:t>
      </w:r>
      <w:r>
        <w:rPr/>
        <w:t xml:space="preserve">) and feed the quality objectives in </w:t>
      </w:r>
      <w:r>
        <w:rPr>
          <w:rStyle w:val="SourceText"/>
        </w:rPr>
        <w:t>QO-01</w:t>
      </w:r>
      <w:r>
        <w:rPr/>
        <w:t xml:space="preserve">. </w:t>
      </w:r>
      <w:r>
        <w:rPr>
          <w:rStyle w:val="Strong"/>
        </w:rPr>
        <w:t>Absence of complaints is not evidence of satisfaction and must not be recorded as such.</w:t>
      </w:r>
    </w:p>
    <w:p>
      <w:pPr>
        <w:pStyle w:val="Heading2"/>
        <w:bidi w:val="0"/>
        <w:jc w:val="left"/>
        <w:rPr/>
      </w:pPr>
      <w:r>
        <w:rPr/>
        <w:t>10. Records</w:t>
      </w:r>
    </w:p>
    <w:tbl>
      <w:tblPr>
        <w:tblW w:w="11339" w:type="dxa"/>
        <w:jc w:val="left"/>
        <w:tblInd w:w="0" w:type="dxa"/>
        <w:tblLayout w:type="fixed"/>
        <w:tblCellMar>
          <w:top w:w="28" w:type="dxa"/>
          <w:left w:w="28" w:type="dxa"/>
          <w:bottom w:w="28" w:type="dxa"/>
          <w:right w:w="28" w:type="dxa"/>
        </w:tblCellMar>
      </w:tblPr>
      <w:tblGrid>
        <w:gridCol w:w="3449"/>
        <w:gridCol w:w="5323"/>
        <w:gridCol w:w="2567"/>
      </w:tblGrid>
      <w:tr>
        <w:trPr>
          <w:tblHeader w:val="true"/>
        </w:trPr>
        <w:tc>
          <w:tcPr>
            <w:tcW w:w="3449" w:type="dxa"/>
            <w:tcBorders/>
            <w:vAlign w:val="center"/>
          </w:tcPr>
          <w:p>
            <w:pPr>
              <w:pStyle w:val="TableHeading"/>
              <w:suppressLineNumbers/>
              <w:shd w:fill="1F3A5F" w:val="clear"/>
              <w:bidi w:val="0"/>
              <w:spacing w:before="0" w:after="283"/>
              <w:jc w:val="center"/>
              <w:rPr/>
            </w:pPr>
            <w:r>
              <w:rPr/>
              <w:t>Record</w:t>
            </w:r>
          </w:p>
        </w:tc>
        <w:tc>
          <w:tcPr>
            <w:tcW w:w="5323" w:type="dxa"/>
            <w:tcBorders/>
            <w:vAlign w:val="center"/>
          </w:tcPr>
          <w:p>
            <w:pPr>
              <w:pStyle w:val="TableHeading"/>
              <w:suppressLineNumbers/>
              <w:shd w:fill="1F3A5F" w:val="clear"/>
              <w:bidi w:val="0"/>
              <w:spacing w:before="0" w:after="283"/>
              <w:jc w:val="center"/>
              <w:rPr/>
            </w:pPr>
            <w:r>
              <w:rPr/>
              <w:t>Location</w:t>
            </w:r>
          </w:p>
        </w:tc>
        <w:tc>
          <w:tcPr>
            <w:tcW w:w="2567" w:type="dxa"/>
            <w:tcBorders/>
            <w:vAlign w:val="center"/>
          </w:tcPr>
          <w:p>
            <w:pPr>
              <w:pStyle w:val="TableHeading"/>
              <w:suppressLineNumbers/>
              <w:shd w:fill="1F3A5F" w:val="clear"/>
              <w:bidi w:val="0"/>
              <w:spacing w:before="0" w:after="283"/>
              <w:jc w:val="center"/>
              <w:rPr/>
            </w:pPr>
            <w:r>
              <w:rPr/>
              <w:t>Retention</w:t>
            </w:r>
          </w:p>
        </w:tc>
      </w:tr>
      <w:tr>
        <w:trPr/>
        <w:tc>
          <w:tcPr>
            <w:tcW w:w="3449" w:type="dxa"/>
            <w:tcBorders/>
            <w:vAlign w:val="center"/>
          </w:tcPr>
          <w:p>
            <w:pPr>
              <w:pStyle w:val="TableContents"/>
              <w:bidi w:val="0"/>
              <w:spacing w:before="0" w:after="283"/>
              <w:jc w:val="left"/>
              <w:rPr/>
            </w:pPr>
            <w:r>
              <w:rPr/>
              <w:t>Customer engagement register (enquiries, proposals, engagements)</w:t>
            </w:r>
          </w:p>
        </w:tc>
        <w:tc>
          <w:tcPr>
            <w:tcW w:w="5323" w:type="dxa"/>
            <w:tcBorders/>
            <w:vAlign w:val="center"/>
          </w:tcPr>
          <w:p>
            <w:pPr>
              <w:pStyle w:val="TableContents"/>
              <w:bidi w:val="0"/>
              <w:spacing w:before="0" w:after="283"/>
              <w:jc w:val="left"/>
              <w:rPr/>
            </w:pPr>
            <w:r>
              <w:rPr>
                <w:rStyle w:val="SourceText"/>
              </w:rPr>
              <w:t>registers/REG-06_Customer_Feedback_and_Complaints_Log.md</w:t>
            </w:r>
          </w:p>
        </w:tc>
        <w:tc>
          <w:tcPr>
            <w:tcW w:w="2567" w:type="dxa"/>
            <w:tcBorders/>
            <w:vAlign w:val="center"/>
          </w:tcPr>
          <w:p>
            <w:pPr>
              <w:pStyle w:val="TableContents"/>
              <w:bidi w:val="0"/>
              <w:spacing w:before="0" w:after="283"/>
              <w:jc w:val="left"/>
              <w:rPr/>
            </w:pPr>
            <w:r>
              <w:rPr/>
              <w:t>3 years after the engagement ends (SOP-01 §8)</w:t>
            </w:r>
          </w:p>
        </w:tc>
      </w:tr>
      <w:tr>
        <w:trPr/>
        <w:tc>
          <w:tcPr>
            <w:tcW w:w="3449" w:type="dxa"/>
            <w:tcBorders/>
            <w:vAlign w:val="center"/>
          </w:tcPr>
          <w:p>
            <w:pPr>
              <w:pStyle w:val="TableContents"/>
              <w:bidi w:val="0"/>
              <w:spacing w:before="0" w:after="283"/>
              <w:jc w:val="left"/>
              <w:rPr/>
            </w:pPr>
            <w:r>
              <w:rPr/>
              <w:t>Requirements review record, per engagement</w:t>
            </w:r>
          </w:p>
        </w:tc>
        <w:tc>
          <w:tcPr>
            <w:tcW w:w="5323" w:type="dxa"/>
            <w:tcBorders/>
            <w:vAlign w:val="center"/>
          </w:tcPr>
          <w:p>
            <w:pPr>
              <w:pStyle w:val="TableContents"/>
              <w:bidi w:val="0"/>
              <w:spacing w:before="0" w:after="283"/>
              <w:jc w:val="left"/>
              <w:rPr/>
            </w:pPr>
            <w:r>
              <w:rPr>
                <w:rStyle w:val="SourceText"/>
              </w:rPr>
              <w:t>forms/FRM-11_Requirements_Review_Record.md</w:t>
            </w:r>
            <w:r>
              <w:rPr/>
              <w:t>, filed in REG-06</w:t>
            </w:r>
          </w:p>
        </w:tc>
        <w:tc>
          <w:tcPr>
            <w:tcW w:w="2567" w:type="dxa"/>
            <w:tcBorders/>
            <w:vAlign w:val="center"/>
          </w:tcPr>
          <w:p>
            <w:pPr>
              <w:pStyle w:val="TableContents"/>
              <w:bidi w:val="0"/>
              <w:spacing w:before="0" w:after="283"/>
              <w:jc w:val="left"/>
              <w:rPr/>
            </w:pPr>
            <w:r>
              <w:rPr/>
              <w:t>As above</w:t>
            </w:r>
          </w:p>
        </w:tc>
      </w:tr>
      <w:tr>
        <w:trPr/>
        <w:tc>
          <w:tcPr>
            <w:tcW w:w="3449" w:type="dxa"/>
            <w:tcBorders/>
            <w:vAlign w:val="center"/>
          </w:tcPr>
          <w:p>
            <w:pPr>
              <w:pStyle w:val="TableContents"/>
              <w:bidi w:val="0"/>
              <w:spacing w:before="0" w:after="283"/>
              <w:jc w:val="left"/>
              <w:rPr/>
            </w:pPr>
            <w:r>
              <w:rPr/>
              <w:t>Record of changes to requirements</w:t>
            </w:r>
          </w:p>
        </w:tc>
        <w:tc>
          <w:tcPr>
            <w:tcW w:w="5323" w:type="dxa"/>
            <w:tcBorders/>
            <w:vAlign w:val="center"/>
          </w:tcPr>
          <w:p>
            <w:pPr>
              <w:pStyle w:val="TableContents"/>
              <w:bidi w:val="0"/>
              <w:spacing w:before="0" w:after="283"/>
              <w:jc w:val="left"/>
              <w:rPr/>
            </w:pPr>
            <w:r>
              <w:rPr/>
              <w:t>Appended to the requirements review record</w:t>
            </w:r>
          </w:p>
        </w:tc>
        <w:tc>
          <w:tcPr>
            <w:tcW w:w="2567" w:type="dxa"/>
            <w:tcBorders/>
            <w:vAlign w:val="center"/>
          </w:tcPr>
          <w:p>
            <w:pPr>
              <w:pStyle w:val="TableContents"/>
              <w:bidi w:val="0"/>
              <w:spacing w:before="0" w:after="283"/>
              <w:jc w:val="left"/>
              <w:rPr/>
            </w:pPr>
            <w:r>
              <w:rPr/>
              <w:t>As above</w:t>
            </w:r>
          </w:p>
        </w:tc>
      </w:tr>
      <w:tr>
        <w:trPr/>
        <w:tc>
          <w:tcPr>
            <w:tcW w:w="3449" w:type="dxa"/>
            <w:tcBorders/>
            <w:vAlign w:val="center"/>
          </w:tcPr>
          <w:p>
            <w:pPr>
              <w:pStyle w:val="TableContents"/>
              <w:bidi w:val="0"/>
              <w:spacing w:before="0" w:after="283"/>
              <w:jc w:val="left"/>
              <w:rPr/>
            </w:pPr>
            <w:r>
              <w:rPr/>
              <w:t>Customer feedback and complaints</w:t>
            </w:r>
          </w:p>
        </w:tc>
        <w:tc>
          <w:tcPr>
            <w:tcW w:w="5323" w:type="dxa"/>
            <w:tcBorders/>
            <w:vAlign w:val="center"/>
          </w:tcPr>
          <w:p>
            <w:pPr>
              <w:pStyle w:val="TableContents"/>
              <w:bidi w:val="0"/>
              <w:spacing w:before="0" w:after="283"/>
              <w:jc w:val="left"/>
              <w:rPr/>
            </w:pPr>
            <w:r>
              <w:rPr>
                <w:rStyle w:val="SourceText"/>
              </w:rPr>
              <w:t>registers/REG-06_Customer_Feedback_and_Complaints_Log.md</w:t>
            </w:r>
          </w:p>
        </w:tc>
        <w:tc>
          <w:tcPr>
            <w:tcW w:w="2567" w:type="dxa"/>
            <w:tcBorders/>
            <w:vAlign w:val="center"/>
          </w:tcPr>
          <w:p>
            <w:pPr>
              <w:pStyle w:val="TableContents"/>
              <w:bidi w:val="0"/>
              <w:spacing w:before="0" w:after="283"/>
              <w:jc w:val="left"/>
              <w:rPr/>
            </w:pPr>
            <w:r>
              <w:rPr/>
              <w:t>3 years (SOP-01 §8)</w:t>
            </w:r>
          </w:p>
        </w:tc>
      </w:tr>
      <w:tr>
        <w:trPr/>
        <w:tc>
          <w:tcPr>
            <w:tcW w:w="3449" w:type="dxa"/>
            <w:tcBorders/>
            <w:vAlign w:val="center"/>
          </w:tcPr>
          <w:p>
            <w:pPr>
              <w:pStyle w:val="TableContents"/>
              <w:bidi w:val="0"/>
              <w:spacing w:before="0" w:after="283"/>
              <w:jc w:val="left"/>
              <w:rPr/>
            </w:pPr>
            <w:r>
              <w:rPr/>
              <w:t>Customer satisfaction reviews</w:t>
            </w:r>
          </w:p>
        </w:tc>
        <w:tc>
          <w:tcPr>
            <w:tcW w:w="5323" w:type="dxa"/>
            <w:tcBorders/>
            <w:vAlign w:val="center"/>
          </w:tcPr>
          <w:p>
            <w:pPr>
              <w:pStyle w:val="TableContents"/>
              <w:bidi w:val="0"/>
              <w:spacing w:before="0" w:after="283"/>
              <w:jc w:val="left"/>
              <w:rPr/>
            </w:pPr>
            <w:r>
              <w:rPr>
                <w:rStyle w:val="SourceText"/>
              </w:rPr>
              <w:t>forms/FRM-12_Customer_Satisfaction_Review.md</w:t>
            </w:r>
            <w:r>
              <w:rPr/>
              <w:t>, filed in REG-06</w:t>
            </w:r>
          </w:p>
        </w:tc>
        <w:tc>
          <w:tcPr>
            <w:tcW w:w="2567" w:type="dxa"/>
            <w:tcBorders/>
            <w:vAlign w:val="center"/>
          </w:tcPr>
          <w:p>
            <w:pPr>
              <w:pStyle w:val="TableContents"/>
              <w:bidi w:val="0"/>
              <w:spacing w:before="0" w:after="283"/>
              <w:jc w:val="left"/>
              <w:rPr/>
            </w:pPr>
            <w:r>
              <w:rPr/>
              <w:t>3 years</w:t>
            </w:r>
          </w:p>
        </w:tc>
      </w:tr>
      <w:tr>
        <w:trPr/>
        <w:tc>
          <w:tcPr>
            <w:tcW w:w="3449" w:type="dxa"/>
            <w:tcBorders/>
            <w:vAlign w:val="center"/>
          </w:tcPr>
          <w:p>
            <w:pPr>
              <w:pStyle w:val="TableContents"/>
              <w:bidi w:val="0"/>
              <w:spacing w:before="0" w:after="283"/>
              <w:jc w:val="left"/>
              <w:rPr/>
            </w:pPr>
            <w:r>
              <w:rPr/>
              <w:t>Statement to the customer of where their data resides</w:t>
            </w:r>
          </w:p>
        </w:tc>
        <w:tc>
          <w:tcPr>
            <w:tcW w:w="5323" w:type="dxa"/>
            <w:tcBorders/>
            <w:vAlign w:val="center"/>
          </w:tcPr>
          <w:p>
            <w:pPr>
              <w:pStyle w:val="TableContents"/>
              <w:bidi w:val="0"/>
              <w:spacing w:before="0" w:after="283"/>
              <w:jc w:val="left"/>
              <w:rPr/>
            </w:pPr>
            <w:r>
              <w:rPr/>
              <w:t>Requirements review record</w:t>
            </w:r>
          </w:p>
        </w:tc>
        <w:tc>
          <w:tcPr>
            <w:tcW w:w="2567" w:type="dxa"/>
            <w:tcBorders/>
            <w:vAlign w:val="center"/>
          </w:tcPr>
          <w:p>
            <w:pPr>
              <w:pStyle w:val="TableContents"/>
              <w:bidi w:val="0"/>
              <w:spacing w:before="0" w:after="283"/>
              <w:jc w:val="left"/>
              <w:rPr/>
            </w:pPr>
            <w:r>
              <w:rPr/>
              <w:t>Life of the engagement + 3 years</w:t>
            </w:r>
          </w:p>
        </w:tc>
      </w:tr>
      <w:tr>
        <w:trPr/>
        <w:tc>
          <w:tcPr>
            <w:tcW w:w="3449" w:type="dxa"/>
            <w:tcBorders/>
            <w:vAlign w:val="center"/>
          </w:tcPr>
          <w:p>
            <w:pPr>
              <w:pStyle w:val="TableContents"/>
              <w:bidi w:val="0"/>
              <w:spacing w:before="0" w:after="283"/>
              <w:jc w:val="left"/>
              <w:rPr/>
            </w:pPr>
            <w:r>
              <w:rPr/>
              <w:t>Customer data itself</w:t>
            </w:r>
          </w:p>
        </w:tc>
        <w:tc>
          <w:tcPr>
            <w:tcW w:w="5323" w:type="dxa"/>
            <w:tcBorders/>
            <w:vAlign w:val="center"/>
          </w:tcPr>
          <w:p>
            <w:pPr>
              <w:pStyle w:val="TableContents"/>
              <w:bidi w:val="0"/>
              <w:spacing w:before="0" w:after="283"/>
              <w:jc w:val="left"/>
              <w:rPr/>
            </w:pPr>
            <w:r>
              <w:rPr/>
              <w:t xml:space="preserve">The deployment's </w:t>
            </w:r>
            <w:r>
              <w:rPr>
                <w:rStyle w:val="SourceText"/>
              </w:rPr>
              <w:t>echomind_data</w:t>
            </w:r>
            <w:r>
              <w:rPr/>
              <w:t xml:space="preserve"> volume, on the customer's hardware. </w:t>
            </w:r>
            <w:r>
              <w:rPr>
                <w:rStyle w:val="Strong"/>
              </w:rPr>
              <w:t>Never in this repository</w:t>
            </w:r>
            <w:r>
              <w:rPr/>
              <w:t xml:space="preserve"> (</w:t>
            </w:r>
            <w:r>
              <w:rPr>
                <w:rStyle w:val="SourceText"/>
              </w:rPr>
              <w:t>SOP-01</w:t>
            </w:r>
            <w:r>
              <w:rPr/>
              <w:t xml:space="preserve"> §9)</w:t>
            </w:r>
          </w:p>
        </w:tc>
        <w:tc>
          <w:tcPr>
            <w:tcW w:w="2567" w:type="dxa"/>
            <w:tcBorders/>
            <w:vAlign w:val="center"/>
          </w:tcPr>
          <w:p>
            <w:pPr>
              <w:pStyle w:val="TableContents"/>
              <w:bidi w:val="0"/>
              <w:spacing w:before="0" w:after="283"/>
              <w:jc w:val="left"/>
              <w:rPr/>
            </w:pPr>
            <w:r>
              <w:rPr/>
              <w:t xml:space="preserve">Per the customer contract; </w:t>
            </w:r>
            <w:r>
              <w:rPr>
                <w:rStyle w:val="SourceText"/>
              </w:rPr>
              <w:t>SOP-11</w:t>
            </w:r>
          </w:p>
        </w:tc>
      </w:tr>
    </w:tbl>
    <w:p>
      <w:pPr>
        <w:pStyle w:val="Heading2"/>
        <w:bidi w:val="0"/>
        <w:jc w:val="left"/>
        <w:rPr/>
      </w:pPr>
      <w:r>
        <w:rPr/>
        <w:t>11. Current state and gaps</w:t>
      </w:r>
    </w:p>
    <w:p>
      <w:pPr>
        <w:pStyle w:val="BodyText"/>
        <w:bidi w:val="0"/>
        <w:jc w:val="left"/>
        <w:rPr/>
      </w:pPr>
      <w:r>
        <w:rPr>
          <w:rStyle w:val="Strong"/>
        </w:rPr>
        <w:t>This procedure defines an intended control. It does not describe an established practice.</w:t>
      </w:r>
      <w:r>
        <w:rPr/>
        <w:t xml:space="preserve"> That statement is the most important line in the document and it is repeated here deliberately.</w:t>
      </w:r>
    </w:p>
    <w:tbl>
      <w:tblPr>
        <w:tblW w:w="11339" w:type="dxa"/>
        <w:jc w:val="left"/>
        <w:tblInd w:w="0" w:type="dxa"/>
        <w:tblLayout w:type="fixed"/>
        <w:tblCellMar>
          <w:top w:w="28" w:type="dxa"/>
          <w:left w:w="28" w:type="dxa"/>
          <w:bottom w:w="28" w:type="dxa"/>
          <w:right w:w="28" w:type="dxa"/>
        </w:tblCellMar>
      </w:tblPr>
      <w:tblGrid>
        <w:gridCol w:w="2691"/>
        <w:gridCol w:w="8648"/>
      </w:tblGrid>
      <w:tr>
        <w:trPr>
          <w:tblHeader w:val="true"/>
        </w:trPr>
        <w:tc>
          <w:tcPr>
            <w:tcW w:w="2691" w:type="dxa"/>
            <w:tcBorders/>
            <w:vAlign w:val="center"/>
          </w:tcPr>
          <w:p>
            <w:pPr>
              <w:pStyle w:val="TableHeading"/>
              <w:suppressLineNumbers/>
              <w:shd w:fill="1F3A5F" w:val="clear"/>
              <w:bidi w:val="0"/>
              <w:spacing w:before="0" w:after="283"/>
              <w:jc w:val="center"/>
              <w:rPr/>
            </w:pPr>
            <w:r>
              <w:rPr/>
              <w:t>Item</w:t>
            </w:r>
          </w:p>
        </w:tc>
        <w:tc>
          <w:tcPr>
            <w:tcW w:w="8648" w:type="dxa"/>
            <w:tcBorders/>
            <w:vAlign w:val="center"/>
          </w:tcPr>
          <w:p>
            <w:pPr>
              <w:pStyle w:val="TableHeading"/>
              <w:suppressLineNumbers/>
              <w:shd w:fill="1F3A5F" w:val="clear"/>
              <w:bidi w:val="0"/>
              <w:spacing w:before="0" w:after="283"/>
              <w:jc w:val="center"/>
              <w:rPr/>
            </w:pPr>
            <w:r>
              <w:rPr/>
              <w:t>Actual state in the repository</w:t>
            </w:r>
          </w:p>
        </w:tc>
      </w:tr>
      <w:tr>
        <w:trPr/>
        <w:tc>
          <w:tcPr>
            <w:tcW w:w="2691" w:type="dxa"/>
            <w:tcBorders/>
            <w:vAlign w:val="center"/>
          </w:tcPr>
          <w:p>
            <w:pPr>
              <w:pStyle w:val="TableContents"/>
              <w:bidi w:val="0"/>
              <w:spacing w:before="0" w:after="283"/>
              <w:jc w:val="left"/>
              <w:rPr/>
            </w:pPr>
            <w:r>
              <w:rPr/>
              <w:t>Contract register</w:t>
            </w:r>
          </w:p>
        </w:tc>
        <w:tc>
          <w:tcPr>
            <w:tcW w:w="8648" w:type="dxa"/>
            <w:tcBorders/>
            <w:vAlign w:val="center"/>
          </w:tcPr>
          <w:p>
            <w:pPr>
              <w:pStyle w:val="TableContents"/>
              <w:bidi w:val="0"/>
              <w:spacing w:before="0" w:after="283"/>
              <w:jc w:val="left"/>
              <w:rPr/>
            </w:pPr>
            <w:r>
              <w:rPr/>
              <w:t>Does not exist. No contract, order or engagement record is present anywhere in the repository.</w:t>
            </w:r>
          </w:p>
        </w:tc>
      </w:tr>
      <w:tr>
        <w:trPr/>
        <w:tc>
          <w:tcPr>
            <w:tcW w:w="2691" w:type="dxa"/>
            <w:tcBorders/>
            <w:vAlign w:val="center"/>
          </w:tcPr>
          <w:p>
            <w:pPr>
              <w:pStyle w:val="TableContents"/>
              <w:bidi w:val="0"/>
              <w:spacing w:before="0" w:after="283"/>
              <w:jc w:val="left"/>
              <w:rPr/>
            </w:pPr>
            <w:r>
              <w:rPr/>
              <w:t>Requirements review records</w:t>
            </w:r>
          </w:p>
        </w:tc>
        <w:tc>
          <w:tcPr>
            <w:tcW w:w="8648" w:type="dxa"/>
            <w:tcBorders/>
            <w:vAlign w:val="center"/>
          </w:tcPr>
          <w:p>
            <w:pPr>
              <w:pStyle w:val="TableContents"/>
              <w:bidi w:val="0"/>
              <w:spacing w:before="0" w:after="283"/>
              <w:jc w:val="left"/>
              <w:rPr/>
            </w:pPr>
            <w:r>
              <w:rPr/>
              <w:t xml:space="preserve">None. No engagement has a recorded pre-commitment review. </w:t>
            </w:r>
            <w:r>
              <w:rPr>
                <w:rStyle w:val="SourceText"/>
              </w:rPr>
              <w:t>forms/FRM-11_Requirements_Review_Record.md</w:t>
            </w:r>
            <w:r>
              <w:rPr/>
              <w:t xml:space="preserve"> is created by this QMS and is unused.</w:t>
            </w:r>
          </w:p>
        </w:tc>
      </w:tr>
      <w:tr>
        <w:trPr/>
        <w:tc>
          <w:tcPr>
            <w:tcW w:w="2691" w:type="dxa"/>
            <w:tcBorders/>
            <w:vAlign w:val="center"/>
          </w:tcPr>
          <w:p>
            <w:pPr>
              <w:pStyle w:val="TableContents"/>
              <w:bidi w:val="0"/>
              <w:spacing w:before="0" w:after="283"/>
              <w:jc w:val="left"/>
              <w:rPr/>
            </w:pPr>
            <w:r>
              <w:rPr/>
              <w:t>Customer feedback log</w:t>
            </w:r>
          </w:p>
        </w:tc>
        <w:tc>
          <w:tcPr>
            <w:tcW w:w="8648" w:type="dxa"/>
            <w:tcBorders/>
            <w:vAlign w:val="center"/>
          </w:tcPr>
          <w:p>
            <w:pPr>
              <w:pStyle w:val="TableContents"/>
              <w:bidi w:val="0"/>
              <w:spacing w:before="0" w:after="283"/>
              <w:jc w:val="left"/>
              <w:rPr/>
            </w:pPr>
            <w:r>
              <w:rPr/>
              <w:t xml:space="preserve">Does not exist. </w:t>
            </w:r>
            <w:r>
              <w:rPr>
                <w:rStyle w:val="SourceText"/>
              </w:rPr>
              <w:t>registers/REG-06</w:t>
            </w:r>
            <w:r>
              <w:rPr/>
              <w:t xml:space="preserve"> is created empty.</w:t>
            </w:r>
          </w:p>
        </w:tc>
      </w:tr>
      <w:tr>
        <w:trPr/>
        <w:tc>
          <w:tcPr>
            <w:tcW w:w="2691" w:type="dxa"/>
            <w:tcBorders/>
            <w:vAlign w:val="center"/>
          </w:tcPr>
          <w:p>
            <w:pPr>
              <w:pStyle w:val="TableContents"/>
              <w:bidi w:val="0"/>
              <w:spacing w:before="0" w:after="283"/>
              <w:jc w:val="left"/>
              <w:rPr/>
            </w:pPr>
            <w:r>
              <w:rPr/>
              <w:t>Complaint records</w:t>
            </w:r>
          </w:p>
        </w:tc>
        <w:tc>
          <w:tcPr>
            <w:tcW w:w="8648" w:type="dxa"/>
            <w:tcBorders/>
            <w:vAlign w:val="center"/>
          </w:tcPr>
          <w:p>
            <w:pPr>
              <w:pStyle w:val="TableContents"/>
              <w:bidi w:val="0"/>
              <w:spacing w:before="0" w:after="283"/>
              <w:jc w:val="left"/>
              <w:rPr/>
            </w:pPr>
            <w:r>
              <w:rPr/>
              <w:t>None. No complaint has been recorded; this is not the same as none having been received.</w:t>
            </w:r>
          </w:p>
        </w:tc>
      </w:tr>
      <w:tr>
        <w:trPr/>
        <w:tc>
          <w:tcPr>
            <w:tcW w:w="2691" w:type="dxa"/>
            <w:tcBorders/>
            <w:vAlign w:val="center"/>
          </w:tcPr>
          <w:p>
            <w:pPr>
              <w:pStyle w:val="TableContents"/>
              <w:bidi w:val="0"/>
              <w:spacing w:before="0" w:after="283"/>
              <w:jc w:val="left"/>
              <w:rPr/>
            </w:pPr>
            <w:r>
              <w:rPr/>
              <w:t>Customer satisfaction monitoring</w:t>
            </w:r>
          </w:p>
        </w:tc>
        <w:tc>
          <w:tcPr>
            <w:tcW w:w="8648" w:type="dxa"/>
            <w:tcBorders/>
            <w:vAlign w:val="center"/>
          </w:tcPr>
          <w:p>
            <w:pPr>
              <w:pStyle w:val="TableContents"/>
              <w:bidi w:val="0"/>
              <w:spacing w:before="0" w:after="283"/>
              <w:jc w:val="left"/>
              <w:rPr/>
            </w:pPr>
            <w:r>
              <w:rPr/>
              <w:t>Not performed. No satisfaction review has taken place and no method was in operation before this procedure.</w:t>
            </w:r>
          </w:p>
        </w:tc>
      </w:tr>
      <w:tr>
        <w:trPr/>
        <w:tc>
          <w:tcPr>
            <w:tcW w:w="2691" w:type="dxa"/>
            <w:tcBorders/>
            <w:vAlign w:val="center"/>
          </w:tcPr>
          <w:p>
            <w:pPr>
              <w:pStyle w:val="TableContents"/>
              <w:bidi w:val="0"/>
              <w:spacing w:before="0" w:after="283"/>
              <w:jc w:val="left"/>
              <w:rPr/>
            </w:pPr>
            <w:r>
              <w:rPr/>
              <w:t>CRM or enquiry tracking</w:t>
            </w:r>
          </w:p>
        </w:tc>
        <w:tc>
          <w:tcPr>
            <w:tcW w:w="8648" w:type="dxa"/>
            <w:tcBorders/>
            <w:vAlign w:val="center"/>
          </w:tcPr>
          <w:p>
            <w:pPr>
              <w:pStyle w:val="TableContents"/>
              <w:bidi w:val="0"/>
              <w:spacing w:before="0" w:after="283"/>
              <w:jc w:val="left"/>
              <w:rPr/>
            </w:pPr>
            <w:r>
              <w:rPr/>
              <w:t>None. Enquiries, to the extent they have occurred, are not logged in any system inside the repository.</w:t>
            </w:r>
          </w:p>
        </w:tc>
      </w:tr>
      <w:tr>
        <w:trPr/>
        <w:tc>
          <w:tcPr>
            <w:tcW w:w="2691" w:type="dxa"/>
            <w:tcBorders/>
            <w:vAlign w:val="center"/>
          </w:tcPr>
          <w:p>
            <w:pPr>
              <w:pStyle w:val="TableContents"/>
              <w:bidi w:val="0"/>
              <w:spacing w:before="0" w:after="283"/>
              <w:jc w:val="left"/>
              <w:rPr/>
            </w:pPr>
            <w:r>
              <w:rPr/>
              <w:t>Named customers</w:t>
            </w:r>
          </w:p>
        </w:tc>
        <w:tc>
          <w:tcPr>
            <w:tcW w:w="8648" w:type="dxa"/>
            <w:tcBorders/>
            <w:vAlign w:val="center"/>
          </w:tcPr>
          <w:p>
            <w:pPr>
              <w:pStyle w:val="TableContents"/>
              <w:bidi w:val="0"/>
              <w:spacing w:before="0" w:after="283"/>
              <w:jc w:val="left"/>
              <w:rPr/>
            </w:pPr>
            <w:r>
              <w:rPr/>
              <w:t xml:space="preserve">None are recorded, and none are named in this QMS. Where an auditor expects a customer name, the field is </w:t>
            </w:r>
            <w:r>
              <w:rPr>
                <w:rStyle w:val="SourceText"/>
              </w:rPr>
              <w:t>________</w:t>
            </w:r>
            <w:r>
              <w:rPr/>
              <w:t>.</w:t>
            </w:r>
          </w:p>
        </w:tc>
      </w:tr>
      <w:tr>
        <w:trPr/>
        <w:tc>
          <w:tcPr>
            <w:tcW w:w="2691" w:type="dxa"/>
            <w:tcBorders/>
            <w:vAlign w:val="center"/>
          </w:tcPr>
          <w:p>
            <w:pPr>
              <w:pStyle w:val="TableContents"/>
              <w:bidi w:val="0"/>
              <w:spacing w:before="0" w:after="283"/>
              <w:jc w:val="left"/>
              <w:rPr/>
            </w:pPr>
            <w:r>
              <w:rPr/>
              <w:t>Acceptance criteria agreed with a customer</w:t>
            </w:r>
          </w:p>
        </w:tc>
        <w:tc>
          <w:tcPr>
            <w:tcW w:w="8648" w:type="dxa"/>
            <w:tcBorders/>
            <w:vAlign w:val="center"/>
          </w:tcPr>
          <w:p>
            <w:pPr>
              <w:pStyle w:val="TableContents"/>
              <w:bidi w:val="0"/>
              <w:spacing w:before="0" w:after="283"/>
              <w:jc w:val="left"/>
              <w:rPr/>
            </w:pPr>
            <w:r>
              <w:rPr/>
              <w:t xml:space="preserve">None recorded. The golden-question sets in </w:t>
            </w:r>
            <w:r>
              <w:rPr>
                <w:rStyle w:val="SourceText"/>
              </w:rPr>
              <w:t>eval/golden/</w:t>
            </w:r>
            <w:r>
              <w:rPr/>
              <w:t xml:space="preserve"> were written by Ajace AI against demonstration material, not agreed with any customer.</w:t>
            </w:r>
          </w:p>
        </w:tc>
      </w:tr>
    </w:tbl>
    <w:p>
      <w:pPr>
        <w:pStyle w:val="BodyText"/>
        <w:bidi w:val="0"/>
        <w:jc w:val="left"/>
        <w:rPr/>
      </w:pPr>
      <w:r>
        <w:rPr>
          <w:rStyle w:val="Strong"/>
        </w:rPr>
        <w:t>What does exist</w:t>
      </w:r>
      <w:r>
        <w:rPr/>
        <w:t xml:space="preserve"> is the commercial and technical basis on which the control will operate: a working, documented platform (</w:t>
      </w:r>
      <w:r>
        <w:rPr>
          <w:rStyle w:val="SourceText"/>
        </w:rPr>
        <w:t>docs/CAPABILITIES.md</w:t>
      </w:r>
      <w:r>
        <w:rPr/>
        <w:t xml:space="preserve">, </w:t>
      </w:r>
      <w:r>
        <w:rPr>
          <w:rStyle w:val="SourceText"/>
        </w:rPr>
        <w:t>docs/USER_MANUAL.md</w:t>
      </w:r>
      <w:r>
        <w:rPr/>
        <w:t>), a public demonstration deployment (</w:t>
      </w:r>
      <w:r>
        <w:rPr>
          <w:rStyle w:val="SourceText"/>
        </w:rPr>
        <w:t>docs/PUBLIC_DEPLOYMENT.md</w:t>
      </w:r>
      <w:r>
        <w:rPr/>
        <w:t xml:space="preserve">; gated by application login, not Cloudflare Access — </w:t>
      </w:r>
      <w:r>
        <w:rPr>
          <w:rStyle w:val="SourceText"/>
        </w:rPr>
        <w:t>REG-04</w:t>
      </w:r>
      <w:r>
        <w:rPr/>
        <w:t xml:space="preserve"> NC-2026-009), a measurable acceptance mechanism that could be pointed at a customer corpus (</w:t>
      </w:r>
      <w:r>
        <w:rPr>
          <w:rStyle w:val="SourceText"/>
        </w:rPr>
        <w:t>eval/run_eval.py</w:t>
      </w:r>
      <w:r>
        <w:rPr/>
        <w:t xml:space="preserve">, 52 golden questions across the five packs plus a conversational set), and a published evaluation of the approach in the QASC 2026 paper with its harness at </w:t>
      </w:r>
      <w:r>
        <w:rPr>
          <w:rStyle w:val="SourceText"/>
        </w:rPr>
        <w:t>eval/paper/</w:t>
      </w:r>
      <w:r>
        <w:rPr/>
        <w:t>.</w:t>
      </w:r>
    </w:p>
    <w:p>
      <w:pPr>
        <w:pStyle w:val="BodyText"/>
        <w:bidi w:val="0"/>
        <w:jc w:val="left"/>
        <w:rPr/>
      </w:pPr>
      <w:r>
        <w:rPr>
          <w:rStyle w:val="Strong"/>
        </w:rPr>
        <w:t>Consequences an auditor should note.</w:t>
      </w:r>
      <w:r>
        <w:rPr/>
        <w:t xml:space="preserve"> Because no requirements review has ever been recorded, there is at present no evidence that Ajace AI reviews requirements before commitment. Clause 8.2.3 is therefore </w:t>
      </w:r>
      <w:r>
        <w:rPr>
          <w:rStyle w:val="Strong"/>
        </w:rPr>
        <w:t>not met</w:t>
      </w:r>
      <w:r>
        <w:rPr/>
        <w:t xml:space="preserve"> today; it becomes capable of being met at the first engagement conducted after this procedure is approved. The same applies to 9.1.2: the method is now determined, but no data has been gathered.</w:t>
      </w:r>
    </w:p>
    <w:p>
      <w:pPr>
        <w:pStyle w:val="BodyText"/>
        <w:bidi w:val="0"/>
        <w:spacing w:before="0" w:after="283"/>
        <w:jc w:val="left"/>
        <w:rPr/>
      </w:pPr>
      <w:r>
        <w:rPr/>
        <w:t xml:space="preserve">All gaps above are carried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