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SOP-06 — Configuration and Change Management</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SOP-06</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Engineering Lead</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8.1, 8.5.2, 8.5.6, 7.5.3</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what constitutes a configuration item of EchoMind Enterprise, how those items are identified and controlled, and how a change to any of them is proposed, assessed, implemented, verified and reconciled. ISO 9001:2015 8.5.6 requires that changes to production are reviewed and controlled to the extent necessary to ensure continuing conformity; 8.5.2 requires that outputs can be identified and traced where traceability is a requirement.</w:t>
      </w:r>
    </w:p>
    <w:p>
      <w:pPr>
        <w:pStyle w:val="Heading2"/>
        <w:bidi w:val="0"/>
        <w:jc w:val="left"/>
        <w:rPr/>
      </w:pPr>
      <w:r>
        <w:rPr/>
        <w:t>2. Scope</w:t>
      </w:r>
    </w:p>
    <w:p>
      <w:pPr>
        <w:pStyle w:val="BodyText"/>
        <w:bidi w:val="0"/>
        <w:jc w:val="left"/>
        <w:rPr/>
      </w:pPr>
      <w:r>
        <w:rPr/>
        <w:t>All items that determine the behaviour of a running EchoMind Enterprise instance: application source, container images, model weights, environment configuration, the evaluation corpus, and the deployment topology itself. It covers both the reference instance operated by Ajace AI and customer on-premises installations.</w:t>
      </w:r>
    </w:p>
    <w:p>
      <w:pPr>
        <w:pStyle w:val="BodyText"/>
        <w:bidi w:val="0"/>
        <w:jc w:val="left"/>
        <w:rPr/>
      </w:pPr>
      <w:r>
        <w:rPr/>
        <w:t xml:space="preserve">It does </w:t>
      </w:r>
      <w:r>
        <w:rPr>
          <w:rStyle w:val="Strong"/>
        </w:rPr>
        <w:t>not</w:t>
      </w:r>
      <w:r>
        <w:rPr/>
        <w:t xml:space="preserve"> cover customer data held in the deployment's volumes — that is customer property and is addressed separately. It does not cover QMS documents, which are controlled under SOP-01.</w:t>
      </w:r>
    </w:p>
    <w:p>
      <w:pPr>
        <w:pStyle w:val="Heading2"/>
        <w:bidi w:val="0"/>
        <w:jc w:val="left"/>
        <w:rPr/>
      </w:pPr>
      <w:r>
        <w:rPr/>
        <w:t>3. Responsibilities</w:t>
      </w:r>
    </w:p>
    <w:tbl>
      <w:tblPr>
        <w:tblW w:w="11339" w:type="dxa"/>
        <w:jc w:val="left"/>
        <w:tblInd w:w="0" w:type="dxa"/>
        <w:tblLayout w:type="fixed"/>
        <w:tblCellMar>
          <w:top w:w="28" w:type="dxa"/>
          <w:left w:w="28" w:type="dxa"/>
          <w:bottom w:w="28" w:type="dxa"/>
          <w:right w:w="28" w:type="dxa"/>
        </w:tblCellMar>
      </w:tblPr>
      <w:tblGrid>
        <w:gridCol w:w="1495"/>
        <w:gridCol w:w="9844"/>
      </w:tblGrid>
      <w:tr>
        <w:trPr>
          <w:tblHeader w:val="true"/>
        </w:trPr>
        <w:tc>
          <w:tcPr>
            <w:tcW w:w="1495" w:type="dxa"/>
            <w:tcBorders/>
            <w:vAlign w:val="center"/>
          </w:tcPr>
          <w:p>
            <w:pPr>
              <w:pStyle w:val="TableHeading"/>
              <w:suppressLineNumbers/>
              <w:shd w:fill="1F3A5F" w:val="clear"/>
              <w:bidi w:val="0"/>
              <w:spacing w:before="0" w:after="283"/>
              <w:jc w:val="center"/>
              <w:rPr/>
            </w:pPr>
            <w:r>
              <w:rPr/>
              <w:t>Role</w:t>
            </w:r>
          </w:p>
        </w:tc>
        <w:tc>
          <w:tcPr>
            <w:tcW w:w="9844" w:type="dxa"/>
            <w:tcBorders/>
            <w:vAlign w:val="center"/>
          </w:tcPr>
          <w:p>
            <w:pPr>
              <w:pStyle w:val="TableHeading"/>
              <w:suppressLineNumbers/>
              <w:shd w:fill="1F3A5F" w:val="clear"/>
              <w:bidi w:val="0"/>
              <w:spacing w:before="0" w:after="283"/>
              <w:jc w:val="center"/>
              <w:rPr/>
            </w:pPr>
            <w:r>
              <w:rPr/>
              <w:t>Responsibility</w:t>
            </w:r>
          </w:p>
        </w:tc>
      </w:tr>
      <w:tr>
        <w:trPr/>
        <w:tc>
          <w:tcPr>
            <w:tcW w:w="1495" w:type="dxa"/>
            <w:tcBorders/>
            <w:vAlign w:val="center"/>
          </w:tcPr>
          <w:p>
            <w:pPr>
              <w:pStyle w:val="TableContents"/>
              <w:bidi w:val="0"/>
              <w:spacing w:before="0" w:after="283"/>
              <w:jc w:val="left"/>
              <w:rPr/>
            </w:pPr>
            <w:r>
              <w:rPr/>
              <w:t>Engineering Lead</w:t>
            </w:r>
          </w:p>
        </w:tc>
        <w:tc>
          <w:tcPr>
            <w:tcW w:w="9844" w:type="dxa"/>
            <w:tcBorders/>
            <w:vAlign w:val="center"/>
          </w:tcPr>
          <w:p>
            <w:pPr>
              <w:pStyle w:val="TableContents"/>
              <w:bidi w:val="0"/>
              <w:spacing w:before="0" w:after="283"/>
              <w:jc w:val="left"/>
              <w:rPr/>
            </w:pPr>
            <w:r>
              <w:rPr/>
              <w:t>Owns this procedure; decides whether a proposed change meets the significance criteria in §6; authorises emergency changes</w:t>
            </w:r>
          </w:p>
        </w:tc>
      </w:tr>
      <w:tr>
        <w:trPr/>
        <w:tc>
          <w:tcPr>
            <w:tcW w:w="1495" w:type="dxa"/>
            <w:tcBorders/>
            <w:vAlign w:val="center"/>
          </w:tcPr>
          <w:p>
            <w:pPr>
              <w:pStyle w:val="TableContents"/>
              <w:bidi w:val="0"/>
              <w:spacing w:before="0" w:after="283"/>
              <w:jc w:val="left"/>
              <w:rPr/>
            </w:pPr>
            <w:r>
              <w:rPr/>
              <w:t>Developer</w:t>
            </w:r>
          </w:p>
        </w:tc>
        <w:tc>
          <w:tcPr>
            <w:tcW w:w="9844" w:type="dxa"/>
            <w:tcBorders/>
            <w:vAlign w:val="center"/>
          </w:tcPr>
          <w:p>
            <w:pPr>
              <w:pStyle w:val="TableContents"/>
              <w:bidi w:val="0"/>
              <w:spacing w:before="0" w:after="283"/>
              <w:jc w:val="left"/>
              <w:rPr/>
            </w:pPr>
            <w:r>
              <w:rPr/>
              <w:t>Proposes and implements changes; records rationale and verification in the commit body; reconciles any container-side hot patch back to source</w:t>
            </w:r>
          </w:p>
        </w:tc>
      </w:tr>
      <w:tr>
        <w:trPr/>
        <w:tc>
          <w:tcPr>
            <w:tcW w:w="1495" w:type="dxa"/>
            <w:tcBorders/>
            <w:vAlign w:val="center"/>
          </w:tcPr>
          <w:p>
            <w:pPr>
              <w:pStyle w:val="TableContents"/>
              <w:bidi w:val="0"/>
              <w:spacing w:before="0" w:after="283"/>
              <w:jc w:val="left"/>
              <w:rPr/>
            </w:pPr>
            <w:r>
              <w:rPr/>
              <w:t>Release Manager</w:t>
            </w:r>
          </w:p>
        </w:tc>
        <w:tc>
          <w:tcPr>
            <w:tcW w:w="9844" w:type="dxa"/>
            <w:tcBorders/>
            <w:vAlign w:val="center"/>
          </w:tcPr>
          <w:p>
            <w:pPr>
              <w:pStyle w:val="TableContents"/>
              <w:bidi w:val="0"/>
              <w:spacing w:before="0" w:after="283"/>
              <w:jc w:val="left"/>
              <w:rPr/>
            </w:pPr>
            <w:r>
              <w:rPr/>
              <w:t>Confirms, before a release, that the deployed images were built from a known source revision (see SOP-08)</w:t>
            </w:r>
          </w:p>
        </w:tc>
      </w:tr>
      <w:tr>
        <w:trPr/>
        <w:tc>
          <w:tcPr>
            <w:tcW w:w="1495" w:type="dxa"/>
            <w:tcBorders/>
            <w:vAlign w:val="center"/>
          </w:tcPr>
          <w:p>
            <w:pPr>
              <w:pStyle w:val="TableContents"/>
              <w:bidi w:val="0"/>
              <w:spacing w:before="0" w:after="283"/>
              <w:jc w:val="left"/>
              <w:rPr/>
            </w:pPr>
            <w:r>
              <w:rPr/>
              <w:t>Managing Director</w:t>
            </w:r>
          </w:p>
        </w:tc>
        <w:tc>
          <w:tcPr>
            <w:tcW w:w="9844" w:type="dxa"/>
            <w:tcBorders/>
            <w:vAlign w:val="center"/>
          </w:tcPr>
          <w:p>
            <w:pPr>
              <w:pStyle w:val="TableContents"/>
              <w:bidi w:val="0"/>
              <w:spacing w:before="0" w:after="283"/>
              <w:jc w:val="left"/>
              <w:rPr/>
            </w:pPr>
            <w:r>
              <w:rPr/>
              <w:t>Approves changes that alter a contractual commitment to a customer</w:t>
            </w:r>
          </w:p>
        </w:tc>
      </w:tr>
    </w:tbl>
    <w:p>
      <w:pPr>
        <w:pStyle w:val="Heading2"/>
        <w:bidi w:val="0"/>
        <w:jc w:val="left"/>
        <w:rPr/>
      </w:pPr>
      <w:r>
        <w:rPr/>
        <w:t>4. Configuration items</w:t>
      </w:r>
    </w:p>
    <w:p>
      <w:pPr>
        <w:pStyle w:val="BodyText"/>
        <w:bidi w:val="0"/>
        <w:jc w:val="left"/>
        <w:rPr/>
      </w:pPr>
      <w:r>
        <w:rPr/>
        <w:t>A configuration item (CI) is anything whose state must be known for the behaviour of a deployed instance to be explicable. For EchoMind Enterprise these are:</w:t>
      </w:r>
    </w:p>
    <w:tbl>
      <w:tblPr>
        <w:tblW w:w="11339" w:type="dxa"/>
        <w:jc w:val="left"/>
        <w:tblInd w:w="0" w:type="dxa"/>
        <w:tblLayout w:type="fixed"/>
        <w:tblCellMar>
          <w:top w:w="28" w:type="dxa"/>
          <w:left w:w="28" w:type="dxa"/>
          <w:bottom w:w="28" w:type="dxa"/>
          <w:right w:w="28" w:type="dxa"/>
        </w:tblCellMar>
      </w:tblPr>
      <w:tblGrid>
        <w:gridCol w:w="386"/>
        <w:gridCol w:w="2115"/>
        <w:gridCol w:w="5932"/>
        <w:gridCol w:w="2906"/>
      </w:tblGrid>
      <w:tr>
        <w:trPr>
          <w:tblHeader w:val="true"/>
        </w:trPr>
        <w:tc>
          <w:tcPr>
            <w:tcW w:w="386" w:type="dxa"/>
            <w:tcBorders/>
            <w:vAlign w:val="center"/>
          </w:tcPr>
          <w:p>
            <w:pPr>
              <w:pStyle w:val="TableHeading"/>
              <w:suppressLineNumbers/>
              <w:shd w:fill="1F3A5F" w:val="clear"/>
              <w:bidi w:val="0"/>
              <w:spacing w:before="0" w:after="283"/>
              <w:jc w:val="center"/>
              <w:rPr/>
            </w:pPr>
            <w:r>
              <w:rPr/>
              <w:t>#</w:t>
            </w:r>
          </w:p>
        </w:tc>
        <w:tc>
          <w:tcPr>
            <w:tcW w:w="2115" w:type="dxa"/>
            <w:tcBorders/>
            <w:vAlign w:val="center"/>
          </w:tcPr>
          <w:p>
            <w:pPr>
              <w:pStyle w:val="TableHeading"/>
              <w:suppressLineNumbers/>
              <w:shd w:fill="1F3A5F" w:val="clear"/>
              <w:bidi w:val="0"/>
              <w:spacing w:before="0" w:after="283"/>
              <w:jc w:val="center"/>
              <w:rPr/>
            </w:pPr>
            <w:r>
              <w:rPr/>
              <w:t>Configuration item</w:t>
            </w:r>
          </w:p>
        </w:tc>
        <w:tc>
          <w:tcPr>
            <w:tcW w:w="5932" w:type="dxa"/>
            <w:tcBorders/>
            <w:vAlign w:val="center"/>
          </w:tcPr>
          <w:p>
            <w:pPr>
              <w:pStyle w:val="TableHeading"/>
              <w:suppressLineNumbers/>
              <w:shd w:fill="1F3A5F" w:val="clear"/>
              <w:bidi w:val="0"/>
              <w:spacing w:before="0" w:after="283"/>
              <w:jc w:val="center"/>
              <w:rPr/>
            </w:pPr>
            <w:r>
              <w:rPr/>
              <w:t>Where it lives</w:t>
            </w:r>
          </w:p>
        </w:tc>
        <w:tc>
          <w:tcPr>
            <w:tcW w:w="2906" w:type="dxa"/>
            <w:tcBorders/>
            <w:vAlign w:val="center"/>
          </w:tcPr>
          <w:p>
            <w:pPr>
              <w:pStyle w:val="TableHeading"/>
              <w:suppressLineNumbers/>
              <w:shd w:fill="1F3A5F" w:val="clear"/>
              <w:bidi w:val="0"/>
              <w:spacing w:before="0" w:after="283"/>
              <w:jc w:val="center"/>
              <w:rPr/>
            </w:pPr>
            <w:r>
              <w:rPr/>
              <w:t>Controlled by</w:t>
            </w:r>
          </w:p>
        </w:tc>
      </w:tr>
      <w:tr>
        <w:trPr/>
        <w:tc>
          <w:tcPr>
            <w:tcW w:w="386" w:type="dxa"/>
            <w:tcBorders/>
            <w:vAlign w:val="center"/>
          </w:tcPr>
          <w:p>
            <w:pPr>
              <w:pStyle w:val="TableContents"/>
              <w:bidi w:val="0"/>
              <w:spacing w:before="0" w:after="283"/>
              <w:jc w:val="left"/>
              <w:rPr/>
            </w:pPr>
            <w:r>
              <w:rPr/>
              <w:t>CI-1</w:t>
            </w:r>
          </w:p>
        </w:tc>
        <w:tc>
          <w:tcPr>
            <w:tcW w:w="2115" w:type="dxa"/>
            <w:tcBorders/>
            <w:vAlign w:val="center"/>
          </w:tcPr>
          <w:p>
            <w:pPr>
              <w:pStyle w:val="TableContents"/>
              <w:bidi w:val="0"/>
              <w:spacing w:before="0" w:after="283"/>
              <w:jc w:val="left"/>
              <w:rPr/>
            </w:pPr>
            <w:r>
              <w:rPr/>
              <w:t>Application source (backend, voice, frontend, scripts, eval harness)</w:t>
            </w:r>
          </w:p>
        </w:tc>
        <w:tc>
          <w:tcPr>
            <w:tcW w:w="5932" w:type="dxa"/>
            <w:tcBorders/>
            <w:vAlign w:val="center"/>
          </w:tcPr>
          <w:p>
            <w:pPr>
              <w:pStyle w:val="TableContents"/>
              <w:bidi w:val="0"/>
              <w:spacing w:before="0" w:after="283"/>
              <w:jc w:val="left"/>
              <w:rPr/>
            </w:pPr>
            <w:r>
              <w:rPr/>
              <w:t>This Git repository</w:t>
            </w:r>
          </w:p>
        </w:tc>
        <w:tc>
          <w:tcPr>
            <w:tcW w:w="2906" w:type="dxa"/>
            <w:tcBorders/>
            <w:vAlign w:val="center"/>
          </w:tcPr>
          <w:p>
            <w:pPr>
              <w:pStyle w:val="TableContents"/>
              <w:bidi w:val="0"/>
              <w:spacing w:before="0" w:after="283"/>
              <w:jc w:val="left"/>
              <w:rPr/>
            </w:pPr>
            <w:r>
              <w:rPr/>
              <w:t>Git commit history</w:t>
            </w:r>
          </w:p>
        </w:tc>
      </w:tr>
      <w:tr>
        <w:trPr/>
        <w:tc>
          <w:tcPr>
            <w:tcW w:w="386" w:type="dxa"/>
            <w:tcBorders/>
            <w:vAlign w:val="center"/>
          </w:tcPr>
          <w:p>
            <w:pPr>
              <w:pStyle w:val="TableContents"/>
              <w:bidi w:val="0"/>
              <w:spacing w:before="0" w:after="283"/>
              <w:jc w:val="left"/>
              <w:rPr/>
            </w:pPr>
            <w:r>
              <w:rPr/>
              <w:t>CI-2</w:t>
            </w:r>
          </w:p>
        </w:tc>
        <w:tc>
          <w:tcPr>
            <w:tcW w:w="2115" w:type="dxa"/>
            <w:tcBorders/>
            <w:vAlign w:val="center"/>
          </w:tcPr>
          <w:p>
            <w:pPr>
              <w:pStyle w:val="TableContents"/>
              <w:bidi w:val="0"/>
              <w:spacing w:before="0" w:after="283"/>
              <w:jc w:val="left"/>
              <w:rPr/>
            </w:pPr>
            <w:r>
              <w:rPr/>
              <w:t>Container image definitions</w:t>
            </w:r>
          </w:p>
        </w:tc>
        <w:tc>
          <w:tcPr>
            <w:tcW w:w="5932" w:type="dxa"/>
            <w:tcBorders/>
            <w:vAlign w:val="center"/>
          </w:tcPr>
          <w:p>
            <w:pPr>
              <w:pStyle w:val="TableContents"/>
              <w:bidi w:val="0"/>
              <w:spacing w:before="0" w:after="283"/>
              <w:jc w:val="left"/>
              <w:rPr/>
            </w:pPr>
            <w:r>
              <w:rPr>
                <w:rStyle w:val="SourceText"/>
              </w:rPr>
              <w:t>backend/Dockerfile</w:t>
            </w:r>
            <w:r>
              <w:rPr/>
              <w:t xml:space="preserve">, </w:t>
            </w:r>
            <w:r>
              <w:rPr>
                <w:rStyle w:val="SourceText"/>
              </w:rPr>
              <w:t>voice/Dockerfile</w:t>
            </w:r>
            <w:r>
              <w:rPr/>
              <w:t xml:space="preserve">, </w:t>
            </w:r>
            <w:r>
              <w:rPr>
                <w:rStyle w:val="SourceText"/>
              </w:rPr>
              <w:t>frontend/Dockerfile</w:t>
            </w:r>
            <w:r>
              <w:rPr/>
              <w:t xml:space="preserve">, </w:t>
            </w:r>
            <w:r>
              <w:rPr>
                <w:rStyle w:val="SourceText"/>
              </w:rPr>
              <w:t>docker/ollama/Dockerfile</w:t>
            </w:r>
          </w:p>
        </w:tc>
        <w:tc>
          <w:tcPr>
            <w:tcW w:w="2906" w:type="dxa"/>
            <w:tcBorders/>
            <w:vAlign w:val="center"/>
          </w:tcPr>
          <w:p>
            <w:pPr>
              <w:pStyle w:val="TableContents"/>
              <w:bidi w:val="0"/>
              <w:spacing w:before="0" w:after="283"/>
              <w:jc w:val="left"/>
              <w:rPr/>
            </w:pPr>
            <w:r>
              <w:rPr/>
              <w:t xml:space="preserve">Git; built by </w:t>
            </w:r>
            <w:r>
              <w:rPr>
                <w:rStyle w:val="SourceText"/>
              </w:rPr>
              <w:t>scripts/build.sh</w:t>
            </w:r>
          </w:p>
        </w:tc>
      </w:tr>
      <w:tr>
        <w:trPr/>
        <w:tc>
          <w:tcPr>
            <w:tcW w:w="386" w:type="dxa"/>
            <w:tcBorders/>
            <w:vAlign w:val="center"/>
          </w:tcPr>
          <w:p>
            <w:pPr>
              <w:pStyle w:val="TableContents"/>
              <w:bidi w:val="0"/>
              <w:spacing w:before="0" w:after="283"/>
              <w:jc w:val="left"/>
              <w:rPr/>
            </w:pPr>
            <w:r>
              <w:rPr/>
              <w:t>CI-3</w:t>
            </w:r>
          </w:p>
        </w:tc>
        <w:tc>
          <w:tcPr>
            <w:tcW w:w="2115" w:type="dxa"/>
            <w:tcBorders/>
            <w:vAlign w:val="center"/>
          </w:tcPr>
          <w:p>
            <w:pPr>
              <w:pStyle w:val="TableContents"/>
              <w:bidi w:val="0"/>
              <w:spacing w:before="0" w:after="283"/>
              <w:jc w:val="left"/>
              <w:rPr/>
            </w:pPr>
            <w:r>
              <w:rPr/>
              <w:t>Built container images</w:t>
            </w:r>
          </w:p>
        </w:tc>
        <w:tc>
          <w:tcPr>
            <w:tcW w:w="5932" w:type="dxa"/>
            <w:tcBorders/>
            <w:vAlign w:val="center"/>
          </w:tcPr>
          <w:p>
            <w:pPr>
              <w:pStyle w:val="TableContents"/>
              <w:bidi w:val="0"/>
              <w:spacing w:before="0" w:after="283"/>
              <w:jc w:val="left"/>
              <w:rPr/>
            </w:pPr>
            <w:r>
              <w:rPr/>
              <w:t>The Docker daemon on the host</w:t>
            </w:r>
          </w:p>
        </w:tc>
        <w:tc>
          <w:tcPr>
            <w:tcW w:w="2906" w:type="dxa"/>
            <w:tcBorders/>
            <w:vAlign w:val="center"/>
          </w:tcPr>
          <w:p>
            <w:pPr>
              <w:pStyle w:val="TableContents"/>
              <w:bidi w:val="0"/>
              <w:spacing w:before="0" w:after="283"/>
              <w:jc w:val="left"/>
              <w:rPr/>
            </w:pPr>
            <w:r>
              <w:rPr>
                <w:rStyle w:val="Strong"/>
              </w:rPr>
              <w:t>Uncontrolled — see §9</w:t>
            </w:r>
          </w:p>
        </w:tc>
      </w:tr>
      <w:tr>
        <w:trPr/>
        <w:tc>
          <w:tcPr>
            <w:tcW w:w="386" w:type="dxa"/>
            <w:tcBorders/>
            <w:vAlign w:val="center"/>
          </w:tcPr>
          <w:p>
            <w:pPr>
              <w:pStyle w:val="TableContents"/>
              <w:bidi w:val="0"/>
              <w:spacing w:before="0" w:after="283"/>
              <w:jc w:val="left"/>
              <w:rPr/>
            </w:pPr>
            <w:r>
              <w:rPr/>
              <w:t>CI-4</w:t>
            </w:r>
          </w:p>
        </w:tc>
        <w:tc>
          <w:tcPr>
            <w:tcW w:w="2115" w:type="dxa"/>
            <w:tcBorders/>
            <w:vAlign w:val="center"/>
          </w:tcPr>
          <w:p>
            <w:pPr>
              <w:pStyle w:val="TableContents"/>
              <w:bidi w:val="0"/>
              <w:spacing w:before="0" w:after="283"/>
              <w:jc w:val="left"/>
              <w:rPr/>
            </w:pPr>
            <w:r>
              <w:rPr/>
              <w:t>Service topology and runtime configuration</w:t>
            </w:r>
          </w:p>
        </w:tc>
        <w:tc>
          <w:tcPr>
            <w:tcW w:w="5932" w:type="dxa"/>
            <w:tcBorders/>
            <w:vAlign w:val="center"/>
          </w:tcPr>
          <w:p>
            <w:pPr>
              <w:pStyle w:val="TableContents"/>
              <w:bidi w:val="0"/>
              <w:spacing w:before="0" w:after="283"/>
              <w:jc w:val="left"/>
              <w:rPr/>
            </w:pPr>
            <w:r>
              <w:rPr>
                <w:rStyle w:val="SourceText"/>
              </w:rPr>
              <w:t>docker-compose.yml</w:t>
            </w:r>
            <w:r>
              <w:rPr/>
              <w:t xml:space="preserve">, </w:t>
            </w:r>
            <w:r>
              <w:rPr>
                <w:rStyle w:val="SourceText"/>
              </w:rPr>
              <w:t>docker-compose.prepare.yml</w:t>
            </w:r>
          </w:p>
        </w:tc>
        <w:tc>
          <w:tcPr>
            <w:tcW w:w="2906" w:type="dxa"/>
            <w:tcBorders/>
            <w:vAlign w:val="center"/>
          </w:tcPr>
          <w:p>
            <w:pPr>
              <w:pStyle w:val="TableContents"/>
              <w:bidi w:val="0"/>
              <w:spacing w:before="0" w:after="283"/>
              <w:jc w:val="left"/>
              <w:rPr/>
            </w:pPr>
            <w:r>
              <w:rPr/>
              <w:t>Git</w:t>
            </w:r>
          </w:p>
        </w:tc>
      </w:tr>
      <w:tr>
        <w:trPr/>
        <w:tc>
          <w:tcPr>
            <w:tcW w:w="386" w:type="dxa"/>
            <w:tcBorders/>
            <w:vAlign w:val="center"/>
          </w:tcPr>
          <w:p>
            <w:pPr>
              <w:pStyle w:val="TableContents"/>
              <w:bidi w:val="0"/>
              <w:spacing w:before="0" w:after="283"/>
              <w:jc w:val="left"/>
              <w:rPr/>
            </w:pPr>
            <w:r>
              <w:rPr/>
              <w:t>CI-5</w:t>
            </w:r>
          </w:p>
        </w:tc>
        <w:tc>
          <w:tcPr>
            <w:tcW w:w="2115" w:type="dxa"/>
            <w:tcBorders/>
            <w:vAlign w:val="center"/>
          </w:tcPr>
          <w:p>
            <w:pPr>
              <w:pStyle w:val="TableContents"/>
              <w:bidi w:val="0"/>
              <w:spacing w:before="0" w:after="283"/>
              <w:jc w:val="left"/>
              <w:rPr/>
            </w:pPr>
            <w:r>
              <w:rPr/>
              <w:t>Environment configuration and secrets</w:t>
            </w:r>
          </w:p>
        </w:tc>
        <w:tc>
          <w:tcPr>
            <w:tcW w:w="5932" w:type="dxa"/>
            <w:tcBorders/>
            <w:vAlign w:val="center"/>
          </w:tcPr>
          <w:p>
            <w:pPr>
              <w:pStyle w:val="TableContents"/>
              <w:bidi w:val="0"/>
              <w:spacing w:before="0" w:after="283"/>
              <w:jc w:val="left"/>
              <w:rPr/>
            </w:pPr>
            <w:r>
              <w:rPr>
                <w:rStyle w:val="SourceText"/>
              </w:rPr>
              <w:t>.env</w:t>
            </w:r>
            <w:r>
              <w:rPr/>
              <w:t xml:space="preserve"> at the repository root</w:t>
            </w:r>
          </w:p>
        </w:tc>
        <w:tc>
          <w:tcPr>
            <w:tcW w:w="2906" w:type="dxa"/>
            <w:tcBorders/>
            <w:vAlign w:val="center"/>
          </w:tcPr>
          <w:p>
            <w:pPr>
              <w:pStyle w:val="TableContents"/>
              <w:bidi w:val="0"/>
              <w:spacing w:before="0" w:after="283"/>
              <w:jc w:val="left"/>
              <w:rPr/>
            </w:pPr>
            <w:r>
              <w:rPr>
                <w:rStyle w:val="Strong"/>
              </w:rPr>
              <w:t>Not in Git</w:t>
            </w:r>
            <w:r>
              <w:rPr/>
              <w:t xml:space="preserve"> (</w:t>
            </w:r>
            <w:r>
              <w:rPr>
                <w:rStyle w:val="SourceText"/>
              </w:rPr>
              <w:t>.gitignore:25-28</w:t>
            </w:r>
            <w:r>
              <w:rPr/>
              <w:t>); no template exists — see §9</w:t>
            </w:r>
          </w:p>
        </w:tc>
      </w:tr>
      <w:tr>
        <w:trPr/>
        <w:tc>
          <w:tcPr>
            <w:tcW w:w="386" w:type="dxa"/>
            <w:tcBorders/>
            <w:vAlign w:val="center"/>
          </w:tcPr>
          <w:p>
            <w:pPr>
              <w:pStyle w:val="TableContents"/>
              <w:bidi w:val="0"/>
              <w:spacing w:before="0" w:after="283"/>
              <w:jc w:val="left"/>
              <w:rPr/>
            </w:pPr>
            <w:r>
              <w:rPr/>
              <w:t>CI-6</w:t>
            </w:r>
          </w:p>
        </w:tc>
        <w:tc>
          <w:tcPr>
            <w:tcW w:w="2115" w:type="dxa"/>
            <w:tcBorders/>
            <w:vAlign w:val="center"/>
          </w:tcPr>
          <w:p>
            <w:pPr>
              <w:pStyle w:val="TableContents"/>
              <w:bidi w:val="0"/>
              <w:spacing w:before="0" w:after="283"/>
              <w:jc w:val="left"/>
              <w:rPr/>
            </w:pPr>
            <w:r>
              <w:rPr/>
              <w:t>Model weights and engines</w:t>
            </w:r>
          </w:p>
        </w:tc>
        <w:tc>
          <w:tcPr>
            <w:tcW w:w="5932" w:type="dxa"/>
            <w:tcBorders/>
            <w:vAlign w:val="center"/>
          </w:tcPr>
          <w:p>
            <w:pPr>
              <w:pStyle w:val="TableContents"/>
              <w:bidi w:val="0"/>
              <w:spacing w:before="0" w:after="283"/>
              <w:jc w:val="left"/>
              <w:rPr/>
            </w:pPr>
            <w:r>
              <w:rPr/>
              <w:t xml:space="preserve">Named volumes </w:t>
            </w:r>
            <w:r>
              <w:rPr>
                <w:rStyle w:val="SourceText"/>
              </w:rPr>
              <w:t>trtllm_hf_cache</w:t>
            </w:r>
            <w:r>
              <w:rPr/>
              <w:t xml:space="preserve">, </w:t>
            </w:r>
            <w:r>
              <w:rPr>
                <w:rStyle w:val="SourceText"/>
              </w:rPr>
              <w:t>ollama_data</w:t>
            </w:r>
            <w:r>
              <w:rPr/>
              <w:t xml:space="preserve">, and </w:t>
            </w:r>
            <w:r>
              <w:rPr>
                <w:rStyle w:val="SourceText"/>
              </w:rPr>
              <w:t>/data/hf_cache</w:t>
            </w:r>
            <w:r>
              <w:rPr/>
              <w:t xml:space="preserve"> inside </w:t>
            </w:r>
            <w:r>
              <w:rPr>
                <w:rStyle w:val="SourceText"/>
              </w:rPr>
              <w:t>echomind_data</w:t>
            </w:r>
          </w:p>
        </w:tc>
        <w:tc>
          <w:tcPr>
            <w:tcW w:w="2906" w:type="dxa"/>
            <w:tcBorders/>
            <w:vAlign w:val="center"/>
          </w:tcPr>
          <w:p>
            <w:pPr>
              <w:pStyle w:val="TableContents"/>
              <w:bidi w:val="0"/>
              <w:spacing w:before="0" w:after="283"/>
              <w:jc w:val="left"/>
              <w:rPr/>
            </w:pPr>
            <w:r>
              <w:rPr/>
              <w:t xml:space="preserve">Populated once by </w:t>
            </w:r>
            <w:r>
              <w:rPr>
                <w:rStyle w:val="SourceText"/>
              </w:rPr>
              <w:t>scripts/prepare_offline.sh</w:t>
            </w:r>
            <w:r>
              <w:rPr/>
              <w:t>; no inventory of what a given volume contains</w:t>
            </w:r>
          </w:p>
        </w:tc>
      </w:tr>
      <w:tr>
        <w:trPr/>
        <w:tc>
          <w:tcPr>
            <w:tcW w:w="386" w:type="dxa"/>
            <w:tcBorders/>
            <w:vAlign w:val="center"/>
          </w:tcPr>
          <w:p>
            <w:pPr>
              <w:pStyle w:val="TableContents"/>
              <w:bidi w:val="0"/>
              <w:spacing w:before="0" w:after="283"/>
              <w:jc w:val="left"/>
              <w:rPr/>
            </w:pPr>
            <w:r>
              <w:rPr/>
              <w:t>CI-7</w:t>
            </w:r>
          </w:p>
        </w:tc>
        <w:tc>
          <w:tcPr>
            <w:tcW w:w="2115" w:type="dxa"/>
            <w:tcBorders/>
            <w:vAlign w:val="center"/>
          </w:tcPr>
          <w:p>
            <w:pPr>
              <w:pStyle w:val="TableContents"/>
              <w:bidi w:val="0"/>
              <w:spacing w:before="0" w:after="283"/>
              <w:jc w:val="left"/>
              <w:rPr/>
            </w:pPr>
            <w:r>
              <w:rPr/>
              <w:t>Models baked into images at build time</w:t>
            </w:r>
          </w:p>
        </w:tc>
        <w:tc>
          <w:tcPr>
            <w:tcW w:w="5932" w:type="dxa"/>
            <w:tcBorders/>
            <w:vAlign w:val="center"/>
          </w:tcPr>
          <w:p>
            <w:pPr>
              <w:pStyle w:val="TableContents"/>
              <w:bidi w:val="0"/>
              <w:spacing w:before="0" w:after="283"/>
              <w:jc w:val="left"/>
              <w:rPr/>
            </w:pPr>
            <w:r>
              <w:rPr/>
              <w:t>Nemotron streaming STT (</w:t>
            </w:r>
            <w:r>
              <w:rPr>
                <w:rStyle w:val="SourceText"/>
              </w:rPr>
              <w:t>backend/Dockerfile:42</w:t>
            </w:r>
            <w:r>
              <w:rPr/>
              <w:t xml:space="preserve">, </w:t>
            </w:r>
            <w:r>
              <w:rPr>
                <w:rStyle w:val="SourceText"/>
              </w:rPr>
              <w:t>voice/Dockerfile:44</w:t>
            </w:r>
            <w:r>
              <w:rPr/>
              <w:t>), Parakeet-TDT (</w:t>
            </w:r>
            <w:r>
              <w:rPr>
                <w:rStyle w:val="SourceText"/>
              </w:rPr>
              <w:t>voice/Dockerfile:50</w:t>
            </w:r>
            <w:r>
              <w:rPr/>
              <w:t>), Piper voice files (</w:t>
            </w:r>
            <w:r>
              <w:rPr>
                <w:rStyle w:val="SourceText"/>
              </w:rPr>
              <w:t>voice/Dockerfile:62-63</w:t>
            </w:r>
            <w:r>
              <w:rPr/>
              <w:t>), Kokoro caches (</w:t>
            </w:r>
            <w:r>
              <w:rPr>
                <w:rStyle w:val="SourceText"/>
              </w:rPr>
              <w:t>voice/Dockerfile:66-74</w:t>
            </w:r>
            <w:r>
              <w:rPr/>
              <w:t>)</w:t>
            </w:r>
          </w:p>
        </w:tc>
        <w:tc>
          <w:tcPr>
            <w:tcW w:w="2906" w:type="dxa"/>
            <w:tcBorders/>
            <w:vAlign w:val="center"/>
          </w:tcPr>
          <w:p>
            <w:pPr>
              <w:pStyle w:val="TableContents"/>
              <w:bidi w:val="0"/>
              <w:spacing w:before="0" w:after="283"/>
              <w:jc w:val="left"/>
              <w:rPr/>
            </w:pPr>
            <w:r>
              <w:rPr/>
              <w:t>The image; changes only on rebuild</w:t>
            </w:r>
          </w:p>
        </w:tc>
      </w:tr>
      <w:tr>
        <w:trPr/>
        <w:tc>
          <w:tcPr>
            <w:tcW w:w="386" w:type="dxa"/>
            <w:tcBorders/>
            <w:vAlign w:val="center"/>
          </w:tcPr>
          <w:p>
            <w:pPr>
              <w:pStyle w:val="TableContents"/>
              <w:bidi w:val="0"/>
              <w:spacing w:before="0" w:after="283"/>
              <w:jc w:val="left"/>
              <w:rPr/>
            </w:pPr>
            <w:r>
              <w:rPr/>
              <w:t>CI-8</w:t>
            </w:r>
          </w:p>
        </w:tc>
        <w:tc>
          <w:tcPr>
            <w:tcW w:w="2115" w:type="dxa"/>
            <w:tcBorders/>
            <w:vAlign w:val="center"/>
          </w:tcPr>
          <w:p>
            <w:pPr>
              <w:pStyle w:val="TableContents"/>
              <w:bidi w:val="0"/>
              <w:spacing w:before="0" w:after="283"/>
              <w:jc w:val="left"/>
              <w:rPr/>
            </w:pPr>
            <w:r>
              <w:rPr/>
              <w:t>Piper voice assets mounted at runtime</w:t>
            </w:r>
          </w:p>
        </w:tc>
        <w:tc>
          <w:tcPr>
            <w:tcW w:w="5932" w:type="dxa"/>
            <w:tcBorders/>
            <w:vAlign w:val="center"/>
          </w:tcPr>
          <w:p>
            <w:pPr>
              <w:pStyle w:val="TableContents"/>
              <w:bidi w:val="0"/>
              <w:spacing w:before="0" w:after="283"/>
              <w:jc w:val="left"/>
              <w:rPr/>
            </w:pPr>
            <w:r>
              <w:rPr>
                <w:rStyle w:val="SourceText"/>
              </w:rPr>
              <w:t>./voice/voices</w:t>
            </w:r>
            <w:r>
              <w:rPr/>
              <w:t xml:space="preserve"> bind-mounted to </w:t>
            </w:r>
            <w:r>
              <w:rPr>
                <w:rStyle w:val="SourceText"/>
              </w:rPr>
              <w:t>/voices</w:t>
            </w:r>
            <w:r>
              <w:rPr/>
              <w:t xml:space="preserve"> (</w:t>
            </w:r>
            <w:r>
              <w:rPr>
                <w:rStyle w:val="SourceText"/>
              </w:rPr>
              <w:t>docker-compose.yml:124</w:t>
            </w:r>
            <w:r>
              <w:rPr/>
              <w:t>) — the only source bind mount in the stack</w:t>
            </w:r>
          </w:p>
        </w:tc>
        <w:tc>
          <w:tcPr>
            <w:tcW w:w="2906" w:type="dxa"/>
            <w:tcBorders/>
            <w:vAlign w:val="center"/>
          </w:tcPr>
          <w:p>
            <w:pPr>
              <w:pStyle w:val="TableContents"/>
              <w:bidi w:val="0"/>
              <w:spacing w:before="0" w:after="283"/>
              <w:jc w:val="left"/>
              <w:rPr/>
            </w:pPr>
            <w:r>
              <w:rPr/>
              <w:t>Git, for the files that are tracked</w:t>
            </w:r>
          </w:p>
        </w:tc>
      </w:tr>
      <w:tr>
        <w:trPr/>
        <w:tc>
          <w:tcPr>
            <w:tcW w:w="386" w:type="dxa"/>
            <w:tcBorders/>
            <w:vAlign w:val="center"/>
          </w:tcPr>
          <w:p>
            <w:pPr>
              <w:pStyle w:val="TableContents"/>
              <w:bidi w:val="0"/>
              <w:spacing w:before="0" w:after="283"/>
              <w:jc w:val="left"/>
              <w:rPr/>
            </w:pPr>
            <w:r>
              <w:rPr/>
              <w:t>CI-9</w:t>
            </w:r>
          </w:p>
        </w:tc>
        <w:tc>
          <w:tcPr>
            <w:tcW w:w="2115" w:type="dxa"/>
            <w:tcBorders/>
            <w:vAlign w:val="center"/>
          </w:tcPr>
          <w:p>
            <w:pPr>
              <w:pStyle w:val="TableContents"/>
              <w:bidi w:val="0"/>
              <w:spacing w:before="0" w:after="283"/>
              <w:jc w:val="left"/>
              <w:rPr/>
            </w:pPr>
            <w:r>
              <w:rPr/>
              <w:t>The golden evaluation set</w:t>
            </w:r>
          </w:p>
        </w:tc>
        <w:tc>
          <w:tcPr>
            <w:tcW w:w="5932" w:type="dxa"/>
            <w:tcBorders/>
            <w:vAlign w:val="center"/>
          </w:tcPr>
          <w:p>
            <w:pPr>
              <w:pStyle w:val="TableContents"/>
              <w:bidi w:val="0"/>
              <w:spacing w:before="0" w:after="283"/>
              <w:jc w:val="left"/>
              <w:rPr/>
            </w:pPr>
            <w:r>
              <w:rPr>
                <w:rStyle w:val="SourceText"/>
              </w:rPr>
              <w:t>eval/golden/*.jsonl</w:t>
            </w:r>
            <w:r>
              <w:rPr/>
              <w:t xml:space="preserve"> — 52 items across seven files</w:t>
            </w:r>
          </w:p>
        </w:tc>
        <w:tc>
          <w:tcPr>
            <w:tcW w:w="2906" w:type="dxa"/>
            <w:tcBorders/>
            <w:vAlign w:val="center"/>
          </w:tcPr>
          <w:p>
            <w:pPr>
              <w:pStyle w:val="TableContents"/>
              <w:bidi w:val="0"/>
              <w:spacing w:before="0" w:after="283"/>
              <w:jc w:val="left"/>
              <w:rPr/>
            </w:pPr>
            <w:r>
              <w:rPr/>
              <w:t>Git. A change to a golden item changes the acceptance criterion for the product and is itself a significant change (§6)</w:t>
            </w:r>
          </w:p>
        </w:tc>
      </w:tr>
      <w:tr>
        <w:trPr/>
        <w:tc>
          <w:tcPr>
            <w:tcW w:w="386" w:type="dxa"/>
            <w:tcBorders/>
            <w:vAlign w:val="center"/>
          </w:tcPr>
          <w:p>
            <w:pPr>
              <w:pStyle w:val="TableContents"/>
              <w:bidi w:val="0"/>
              <w:spacing w:before="0" w:after="283"/>
              <w:jc w:val="left"/>
              <w:rPr/>
            </w:pPr>
            <w:r>
              <w:rPr/>
              <w:t>CI-10</w:t>
            </w:r>
          </w:p>
        </w:tc>
        <w:tc>
          <w:tcPr>
            <w:tcW w:w="2115" w:type="dxa"/>
            <w:tcBorders/>
            <w:vAlign w:val="center"/>
          </w:tcPr>
          <w:p>
            <w:pPr>
              <w:pStyle w:val="TableContents"/>
              <w:bidi w:val="0"/>
              <w:spacing w:before="0" w:after="283"/>
              <w:jc w:val="left"/>
              <w:rPr/>
            </w:pPr>
            <w:r>
              <w:rPr/>
              <w:t>Customer deployment record</w:t>
            </w:r>
          </w:p>
        </w:tc>
        <w:tc>
          <w:tcPr>
            <w:tcW w:w="5932" w:type="dxa"/>
            <w:tcBorders/>
            <w:vAlign w:val="center"/>
          </w:tcPr>
          <w:p>
            <w:pPr>
              <w:pStyle w:val="TableContents"/>
              <w:bidi w:val="0"/>
              <w:spacing w:before="0" w:after="283"/>
              <w:jc w:val="left"/>
              <w:rPr/>
            </w:pPr>
            <w:r>
              <w:rPr/>
              <w:t xml:space="preserve">Intended: </w:t>
            </w:r>
            <w:r>
              <w:rPr>
                <w:rStyle w:val="SourceText"/>
              </w:rPr>
              <w:t>registers/REG-08_Release_and_Deployment_Register.md</w:t>
            </w:r>
          </w:p>
        </w:tc>
        <w:tc>
          <w:tcPr>
            <w:tcW w:w="2906" w:type="dxa"/>
            <w:tcBorders/>
            <w:vAlign w:val="center"/>
          </w:tcPr>
          <w:p>
            <w:pPr>
              <w:pStyle w:val="TableContents"/>
              <w:bidi w:val="0"/>
              <w:spacing w:before="0" w:after="283"/>
              <w:jc w:val="left"/>
              <w:rPr/>
            </w:pPr>
            <w:r>
              <w:rPr>
                <w:rStyle w:val="Strong"/>
              </w:rPr>
              <w:t>Does not exist — see §9</w:t>
            </w:r>
          </w:p>
        </w:tc>
      </w:tr>
    </w:tbl>
    <w:p>
      <w:pPr>
        <w:pStyle w:val="BodyText"/>
        <w:bidi w:val="0"/>
        <w:jc w:val="left"/>
        <w:rPr/>
      </w:pPr>
      <w:r>
        <w:rPr>
          <w:rStyle w:val="Strong"/>
        </w:rPr>
        <w:t>CI-5 note.</w:t>
      </w:r>
      <w:r>
        <w:rPr/>
        <w:t xml:space="preserve"> Six secret-bearing variable names are consumed by the stack: </w:t>
      </w:r>
      <w:r>
        <w:rPr>
          <w:rStyle w:val="SourceText"/>
        </w:rPr>
        <w:t>HF_TOKEN</w:t>
      </w:r>
      <w:r>
        <w:rPr/>
        <w:t xml:space="preserve">, </w:t>
      </w:r>
      <w:r>
        <w:rPr>
          <w:rStyle w:val="SourceText"/>
        </w:rPr>
        <w:t>TUNNEL_TOKEN</w:t>
      </w:r>
      <w:r>
        <w:rPr/>
        <w:t xml:space="preserve">, </w:t>
      </w:r>
      <w:r>
        <w:rPr>
          <w:rStyle w:val="SourceText"/>
        </w:rPr>
        <w:t>AUTH_SECRET</w:t>
      </w:r>
      <w:r>
        <w:rPr/>
        <w:t xml:space="preserve">, </w:t>
      </w:r>
      <w:r>
        <w:rPr>
          <w:rStyle w:val="SourceText"/>
        </w:rPr>
        <w:t>AUTH_ADMIN_USER</w:t>
      </w:r>
      <w:r>
        <w:rPr/>
        <w:t xml:space="preserve">, </w:t>
      </w:r>
      <w:r>
        <w:rPr>
          <w:rStyle w:val="SourceText"/>
        </w:rPr>
        <w:t>AUTH_ADMIN_PASSWORD</w:t>
      </w:r>
      <w:r>
        <w:rPr/>
        <w:t xml:space="preserve">, </w:t>
      </w:r>
      <w:r>
        <w:rPr>
          <w:rStyle w:val="SourceText"/>
        </w:rPr>
        <w:t>VOICE_AUTH_SECRET</w:t>
      </w:r>
      <w:r>
        <w:rPr/>
        <w:t xml:space="preserve">. </w:t>
      </w:r>
      <w:r>
        <w:rPr>
          <w:rStyle w:val="SourceText"/>
        </w:rPr>
        <w:t>HF_TOKEN</w:t>
      </w:r>
      <w:r>
        <w:rPr/>
        <w:t xml:space="preserve"> is additionally passed as a Docker </w:t>
      </w:r>
      <w:r>
        <w:rPr>
          <w:rStyle w:val="Strong"/>
        </w:rPr>
        <w:t>build argument</w:t>
      </w:r>
      <w:r>
        <w:rPr/>
        <w:t xml:space="preserve"> (</w:t>
      </w:r>
      <w:r>
        <w:rPr>
          <w:rStyle w:val="SourceText"/>
        </w:rPr>
        <w:t>docker-compose.yml:53</w:t>
      </w:r>
      <w:r>
        <w:rPr/>
        <w:t xml:space="preserve"> and </w:t>
      </w:r>
      <w:r>
        <w:rPr>
          <w:rStyle w:val="SourceText"/>
        </w:rPr>
        <w:t>:120</w:t>
      </w:r>
      <w:r>
        <w:rPr/>
        <w:t xml:space="preserve">), so it is present in build layers unless those layers are pruned. There is no secret manager, no use of Docker secrets, and no encryption at rest for </w:t>
      </w:r>
      <w:r>
        <w:rPr>
          <w:rStyle w:val="SourceText"/>
        </w:rPr>
        <w:t>.env</w:t>
      </w:r>
      <w:r>
        <w:rPr/>
        <w:t>.</w:t>
      </w:r>
    </w:p>
    <w:p>
      <w:pPr>
        <w:pStyle w:val="Heading2"/>
        <w:bidi w:val="0"/>
        <w:jc w:val="left"/>
        <w:rPr/>
      </w:pPr>
      <w:r>
        <w:rPr/>
        <w:t>5. Branching and commit practice as actually performed</w:t>
      </w:r>
    </w:p>
    <w:p>
      <w:pPr>
        <w:pStyle w:val="BodyText"/>
        <w:bidi w:val="0"/>
        <w:jc w:val="left"/>
        <w:rPr/>
      </w:pPr>
      <w:r>
        <w:rPr/>
        <w:t>This section describes what the repository shows, not a target.</w:t>
      </w:r>
    </w:p>
    <w:p>
      <w:pPr>
        <w:pStyle w:val="BodyText"/>
        <w:numPr>
          <w:ilvl w:val="0"/>
          <w:numId w:val="1"/>
        </w:numPr>
        <w:tabs>
          <w:tab w:val="clear" w:pos="1134"/>
          <w:tab w:val="left" w:pos="709" w:leader="none"/>
        </w:tabs>
        <w:bidi w:val="0"/>
        <w:spacing w:before="0" w:after="0"/>
        <w:ind w:hanging="283" w:left="709"/>
        <w:jc w:val="left"/>
        <w:rPr/>
      </w:pPr>
      <w:r>
        <w:rPr/>
        <w:t xml:space="preserve">Work is committed </w:t>
      </w:r>
      <w:r>
        <w:rPr>
          <w:rStyle w:val="Strong"/>
        </w:rPr>
        <w:t xml:space="preserve">directly to </w:t>
      </w:r>
      <w:r>
        <w:rPr>
          <w:rStyle w:val="SourceText"/>
        </w:rPr>
        <w:t>main</w:t>
      </w:r>
      <w:r>
        <w:rPr/>
        <w:t>. Sixteen local and eighteen remote branches exist, but only two merge commits appear in the whole history (</w:t>
      </w:r>
      <w:r>
        <w:rPr>
          <w:rStyle w:val="SourceText"/>
        </w:rPr>
        <w:t>3aed690</w:t>
      </w:r>
      <w:r>
        <w:rPr/>
        <w:t xml:space="preserve">, </w:t>
      </w:r>
      <w:r>
        <w:rPr>
          <w:rStyle w:val="SourceText"/>
        </w:rPr>
        <w:t>6f4d24e</w:t>
      </w:r>
      <w:r>
        <w:rPr/>
        <w:t xml:space="preserve">, both dated early in the project); recent work does not go through branches or pull requests. </w:t>
      </w:r>
    </w:p>
    <w:p>
      <w:pPr>
        <w:pStyle w:val="BodyText"/>
        <w:numPr>
          <w:ilvl w:val="0"/>
          <w:numId w:val="1"/>
        </w:numPr>
        <w:tabs>
          <w:tab w:val="clear" w:pos="1134"/>
          <w:tab w:val="left" w:pos="709" w:leader="none"/>
        </w:tabs>
        <w:bidi w:val="0"/>
        <w:spacing w:before="0" w:after="0"/>
        <w:ind w:hanging="283" w:left="709"/>
        <w:jc w:val="left"/>
        <w:rPr/>
      </w:pPr>
      <w:r>
        <w:rPr/>
        <w:t xml:space="preserve">The history contains </w:t>
      </w:r>
      <w:r>
        <w:rPr>
          <w:rStyle w:val="Strong"/>
        </w:rPr>
        <w:t>202 commits from two author identities</w:t>
      </w:r>
      <w:r>
        <w:rPr/>
        <w:t xml:space="preserve"> (</w:t>
      </w:r>
      <w:r>
        <w:rPr>
          <w:rStyle w:val="SourceText"/>
        </w:rPr>
        <w:t>git log --format=%an | sort -u</w:t>
      </w:r>
      <w:r>
        <w:rPr/>
        <w:t xml:space="preserve"> returns </w:t>
      </w:r>
      <w:r>
        <w:rPr>
          <w:rStyle w:val="SourceText"/>
        </w:rPr>
        <w:t>2523</w:t>
      </w:r>
      <w:r>
        <w:rPr/>
        <w:t xml:space="preserve"> and </w:t>
      </w:r>
      <w:r>
        <w:rPr>
          <w:rStyle w:val="SourceText"/>
        </w:rPr>
        <w:t>RW2523</w:t>
      </w:r>
      <w:r>
        <w:rPr/>
        <w:t xml:space="preserve">). Forty-nine of the last fifty commits are by a single author. </w:t>
      </w:r>
    </w:p>
    <w:p>
      <w:pPr>
        <w:pStyle w:val="BodyText"/>
        <w:numPr>
          <w:ilvl w:val="0"/>
          <w:numId w:val="1"/>
        </w:numPr>
        <w:tabs>
          <w:tab w:val="clear" w:pos="1134"/>
          <w:tab w:val="left" w:pos="709" w:leader="none"/>
        </w:tabs>
        <w:bidi w:val="0"/>
        <w:spacing w:before="0" w:after="0"/>
        <w:ind w:hanging="283" w:left="709"/>
        <w:jc w:val="left"/>
        <w:rPr/>
      </w:pPr>
      <w:r>
        <w:rPr>
          <w:rStyle w:val="Strong"/>
        </w:rPr>
        <w:t>Conventional-commit prefixes</w:t>
      </w:r>
      <w:r>
        <w:rPr/>
        <w:t xml:space="preserve"> (</w:t>
      </w:r>
      <w:r>
        <w:rPr>
          <w:rStyle w:val="SourceText"/>
        </w:rPr>
        <w:t>feat(scope):</w:t>
      </w:r>
      <w:r>
        <w:rPr/>
        <w:t xml:space="preserve">, </w:t>
      </w:r>
      <w:r>
        <w:rPr>
          <w:rStyle w:val="SourceText"/>
        </w:rPr>
        <w:t>fix(scope):</w:t>
      </w:r>
      <w:r>
        <w:rPr/>
        <w:t xml:space="preserve">, </w:t>
      </w:r>
      <w:r>
        <w:rPr>
          <w:rStyle w:val="SourceText"/>
        </w:rPr>
        <w:t>docs(scope):</w:t>
      </w:r>
      <w:r>
        <w:rPr/>
        <w:t xml:space="preserve">) are used on 78 of 202 commits overall — about 38 per cent — but on 38 of the last 40. The practice is recent and improving, not historic. </w:t>
      </w:r>
    </w:p>
    <w:p>
      <w:pPr>
        <w:pStyle w:val="BodyText"/>
        <w:numPr>
          <w:ilvl w:val="0"/>
          <w:numId w:val="1"/>
        </w:numPr>
        <w:tabs>
          <w:tab w:val="clear" w:pos="1134"/>
          <w:tab w:val="left" w:pos="709" w:leader="none"/>
        </w:tabs>
        <w:bidi w:val="0"/>
        <w:ind w:hanging="283" w:left="709"/>
        <w:jc w:val="left"/>
        <w:rPr/>
      </w:pPr>
      <w:r>
        <w:rPr>
          <w:rStyle w:val="Strong"/>
        </w:rPr>
        <w:t>Commit bodies carry the engineering record.</w:t>
      </w:r>
      <w:r>
        <w:rPr/>
        <w:t xml:space="preserve"> The prevailing style is a body that states the symptom, the cause, the fix and the verification performed. </w:t>
      </w:r>
      <w:r>
        <w:rPr>
          <w:rStyle w:val="SourceText"/>
        </w:rPr>
        <w:t>724fb98</w:t>
      </w:r>
      <w:r>
        <w:rPr/>
        <w:t xml:space="preserve"> and </w:t>
      </w:r>
      <w:r>
        <w:rPr>
          <w:rStyle w:val="SourceText"/>
        </w:rPr>
        <w:t>73f0b4f</w:t>
      </w:r>
      <w:r>
        <w:rPr/>
        <w:t xml:space="preserve"> are representative: both name the failing component, the mechanism, and the end-to-end check run afterwards. This is the organisation's real design-change record and must be preserved. </w:t>
      </w:r>
    </w:p>
    <w:p>
      <w:pPr>
        <w:pStyle w:val="BodyText"/>
        <w:bidi w:val="0"/>
        <w:jc w:val="left"/>
        <w:rPr/>
      </w:pPr>
      <w:r>
        <w:rPr>
          <w:rStyle w:val="Strong"/>
        </w:rPr>
        <w:t>Rule.</w:t>
      </w:r>
      <w:r>
        <w:rPr/>
        <w:t xml:space="preserve"> Every commit that changes behaviour carries a body stating (a) what changed, (b) why, and (c) what was run to verify it. A one-line subject with no body is acceptable only for a change that cannot alter behaviour (formatting, a comment, a document).</w:t>
      </w:r>
    </w:p>
    <w:p>
      <w:pPr>
        <w:pStyle w:val="BodyText"/>
        <w:bidi w:val="0"/>
        <w:jc w:val="left"/>
        <w:rPr/>
      </w:pPr>
      <w:r>
        <w:rPr/>
        <w:t>Single-developer working means there is no independent review step. This is an accepted constraint of the current team size, not a control; it is recorded as a gap in §9.</w:t>
      </w:r>
    </w:p>
    <w:p>
      <w:pPr>
        <w:pStyle w:val="Heading2"/>
        <w:bidi w:val="0"/>
        <w:jc w:val="left"/>
        <w:rPr/>
      </w:pPr>
      <w:r>
        <w:rPr/>
        <w:t>6. Significance criteria — when a Change Request is required</w:t>
      </w:r>
    </w:p>
    <w:p>
      <w:pPr>
        <w:pStyle w:val="BodyText"/>
        <w:bidi w:val="0"/>
        <w:jc w:val="left"/>
        <w:rPr/>
      </w:pPr>
      <w:r>
        <w:rPr/>
        <w:t xml:space="preserve">Most commits do not need a form. A </w:t>
      </w:r>
      <w:r>
        <w:rPr>
          <w:rStyle w:val="Strong"/>
        </w:rPr>
        <w:t>Change Request</w:t>
      </w:r>
      <w:r>
        <w:rPr/>
        <w:t xml:space="preserve"> (</w:t>
      </w:r>
      <w:r>
        <w:rPr>
          <w:rStyle w:val="SourceText"/>
        </w:rPr>
        <w:t>forms/FRM-02_Change_Request.md</w:t>
      </w:r>
      <w:r>
        <w:rPr/>
        <w:t xml:space="preserve">) is required before implementation when a change meets </w:t>
      </w:r>
      <w:r>
        <w:rPr>
          <w:rStyle w:val="Strong"/>
        </w:rPr>
        <w:t>any</w:t>
      </w:r>
      <w:r>
        <w:rPr/>
        <w:t xml:space="preserve"> of the following criteria.</w:t>
      </w:r>
    </w:p>
    <w:tbl>
      <w:tblPr>
        <w:tblW w:w="11339" w:type="dxa"/>
        <w:jc w:val="left"/>
        <w:tblInd w:w="0" w:type="dxa"/>
        <w:tblLayout w:type="fixed"/>
        <w:tblCellMar>
          <w:top w:w="28" w:type="dxa"/>
          <w:left w:w="28" w:type="dxa"/>
          <w:bottom w:w="28" w:type="dxa"/>
          <w:right w:w="28" w:type="dxa"/>
        </w:tblCellMar>
      </w:tblPr>
      <w:tblGrid>
        <w:gridCol w:w="334"/>
        <w:gridCol w:w="4533"/>
        <w:gridCol w:w="6472"/>
      </w:tblGrid>
      <w:tr>
        <w:trPr>
          <w:tblHeader w:val="true"/>
        </w:trPr>
        <w:tc>
          <w:tcPr>
            <w:tcW w:w="334" w:type="dxa"/>
            <w:tcBorders/>
            <w:vAlign w:val="center"/>
          </w:tcPr>
          <w:p>
            <w:pPr>
              <w:pStyle w:val="TableHeading"/>
              <w:suppressLineNumbers/>
              <w:shd w:fill="1F3A5F" w:val="clear"/>
              <w:bidi w:val="0"/>
              <w:spacing w:before="0" w:after="283"/>
              <w:jc w:val="center"/>
              <w:rPr/>
            </w:pPr>
            <w:r>
              <w:rPr/>
              <w:t>#</w:t>
            </w:r>
          </w:p>
        </w:tc>
        <w:tc>
          <w:tcPr>
            <w:tcW w:w="4533" w:type="dxa"/>
            <w:tcBorders/>
            <w:vAlign w:val="center"/>
          </w:tcPr>
          <w:p>
            <w:pPr>
              <w:pStyle w:val="TableHeading"/>
              <w:suppressLineNumbers/>
              <w:shd w:fill="1F3A5F" w:val="clear"/>
              <w:bidi w:val="0"/>
              <w:spacing w:before="0" w:after="283"/>
              <w:jc w:val="center"/>
              <w:rPr/>
            </w:pPr>
            <w:r>
              <w:rPr/>
              <w:t>Criterion</w:t>
            </w:r>
          </w:p>
        </w:tc>
        <w:tc>
          <w:tcPr>
            <w:tcW w:w="6472" w:type="dxa"/>
            <w:tcBorders/>
            <w:vAlign w:val="center"/>
          </w:tcPr>
          <w:p>
            <w:pPr>
              <w:pStyle w:val="TableHeading"/>
              <w:suppressLineNumbers/>
              <w:shd w:fill="1F3A5F" w:val="clear"/>
              <w:bidi w:val="0"/>
              <w:spacing w:before="0" w:after="283"/>
              <w:jc w:val="center"/>
              <w:rPr/>
            </w:pPr>
            <w:r>
              <w:rPr/>
              <w:t>Why</w:t>
            </w:r>
          </w:p>
        </w:tc>
      </w:tr>
      <w:tr>
        <w:trPr/>
        <w:tc>
          <w:tcPr>
            <w:tcW w:w="334" w:type="dxa"/>
            <w:tcBorders/>
            <w:vAlign w:val="center"/>
          </w:tcPr>
          <w:p>
            <w:pPr>
              <w:pStyle w:val="TableContents"/>
              <w:bidi w:val="0"/>
              <w:spacing w:before="0" w:after="283"/>
              <w:jc w:val="left"/>
              <w:rPr/>
            </w:pPr>
            <w:r>
              <w:rPr/>
              <w:t>S-1</w:t>
            </w:r>
          </w:p>
        </w:tc>
        <w:tc>
          <w:tcPr>
            <w:tcW w:w="4533" w:type="dxa"/>
            <w:tcBorders/>
            <w:vAlign w:val="center"/>
          </w:tcPr>
          <w:p>
            <w:pPr>
              <w:pStyle w:val="TableContents"/>
              <w:bidi w:val="0"/>
              <w:spacing w:before="0" w:after="283"/>
              <w:jc w:val="left"/>
              <w:rPr/>
            </w:pPr>
            <w:r>
              <w:rPr/>
              <w:t>Alters retrieval, ranking, chunking, prompting or grounding behaviour</w:t>
            </w:r>
          </w:p>
        </w:tc>
        <w:tc>
          <w:tcPr>
            <w:tcW w:w="6472" w:type="dxa"/>
            <w:tcBorders/>
            <w:vAlign w:val="center"/>
          </w:tcPr>
          <w:p>
            <w:pPr>
              <w:pStyle w:val="TableContents"/>
              <w:bidi w:val="0"/>
              <w:spacing w:before="0" w:after="283"/>
              <w:jc w:val="left"/>
              <w:rPr/>
            </w:pPr>
            <w:r>
              <w:rPr/>
              <w:t>Directly changes what the product asserts to a user; the quality policy treats an ungrounded answer as a top-severity defect (QP-01 §2.1)</w:t>
            </w:r>
          </w:p>
        </w:tc>
      </w:tr>
      <w:tr>
        <w:trPr/>
        <w:tc>
          <w:tcPr>
            <w:tcW w:w="334" w:type="dxa"/>
            <w:tcBorders/>
            <w:vAlign w:val="center"/>
          </w:tcPr>
          <w:p>
            <w:pPr>
              <w:pStyle w:val="TableContents"/>
              <w:bidi w:val="0"/>
              <w:spacing w:before="0" w:after="283"/>
              <w:jc w:val="left"/>
              <w:rPr/>
            </w:pPr>
            <w:r>
              <w:rPr/>
              <w:t>S-2</w:t>
            </w:r>
          </w:p>
        </w:tc>
        <w:tc>
          <w:tcPr>
            <w:tcW w:w="4533" w:type="dxa"/>
            <w:tcBorders/>
            <w:vAlign w:val="center"/>
          </w:tcPr>
          <w:p>
            <w:pPr>
              <w:pStyle w:val="TableContents"/>
              <w:bidi w:val="0"/>
              <w:spacing w:before="0" w:after="283"/>
              <w:jc w:val="left"/>
              <w:rPr/>
            </w:pPr>
            <w:r>
              <w:rPr/>
              <w:t>Swaps, upgrades or removes a model (chat LLM, embedding, STT, TTS, reranker, image)</w:t>
            </w:r>
          </w:p>
        </w:tc>
        <w:tc>
          <w:tcPr>
            <w:tcW w:w="6472" w:type="dxa"/>
            <w:tcBorders/>
            <w:vAlign w:val="center"/>
          </w:tcPr>
          <w:p>
            <w:pPr>
              <w:pStyle w:val="TableContents"/>
              <w:bidi w:val="0"/>
              <w:spacing w:before="0" w:after="283"/>
              <w:jc w:val="left"/>
              <w:rPr/>
            </w:pPr>
            <w:r>
              <w:rPr/>
              <w:t>Changes output characteristics, licence position and hardware envelope at once</w:t>
            </w:r>
          </w:p>
        </w:tc>
      </w:tr>
      <w:tr>
        <w:trPr/>
        <w:tc>
          <w:tcPr>
            <w:tcW w:w="334" w:type="dxa"/>
            <w:tcBorders/>
            <w:vAlign w:val="center"/>
          </w:tcPr>
          <w:p>
            <w:pPr>
              <w:pStyle w:val="TableContents"/>
              <w:bidi w:val="0"/>
              <w:spacing w:before="0" w:after="283"/>
              <w:jc w:val="left"/>
              <w:rPr/>
            </w:pPr>
            <w:r>
              <w:rPr/>
              <w:t>S-3</w:t>
            </w:r>
          </w:p>
        </w:tc>
        <w:tc>
          <w:tcPr>
            <w:tcW w:w="4533" w:type="dxa"/>
            <w:tcBorders/>
            <w:vAlign w:val="center"/>
          </w:tcPr>
          <w:p>
            <w:pPr>
              <w:pStyle w:val="TableContents"/>
              <w:bidi w:val="0"/>
              <w:spacing w:before="0" w:after="283"/>
              <w:jc w:val="left"/>
              <w:rPr/>
            </w:pPr>
            <w:r>
              <w:rPr/>
              <w:t>Changes how customer data is stored, indexed, exported or deleted</w:t>
            </w:r>
          </w:p>
        </w:tc>
        <w:tc>
          <w:tcPr>
            <w:tcW w:w="6472" w:type="dxa"/>
            <w:tcBorders/>
            <w:vAlign w:val="center"/>
          </w:tcPr>
          <w:p>
            <w:pPr>
              <w:pStyle w:val="TableContents"/>
              <w:bidi w:val="0"/>
              <w:spacing w:before="0" w:after="283"/>
              <w:jc w:val="left"/>
              <w:rPr/>
            </w:pPr>
            <w:r>
              <w:rPr/>
              <w:t>Customer property (8.5.3); affects the offline guarantee</w:t>
            </w:r>
          </w:p>
        </w:tc>
      </w:tr>
      <w:tr>
        <w:trPr/>
        <w:tc>
          <w:tcPr>
            <w:tcW w:w="334" w:type="dxa"/>
            <w:tcBorders/>
            <w:vAlign w:val="center"/>
          </w:tcPr>
          <w:p>
            <w:pPr>
              <w:pStyle w:val="TableContents"/>
              <w:bidi w:val="0"/>
              <w:spacing w:before="0" w:after="283"/>
              <w:jc w:val="left"/>
              <w:rPr/>
            </w:pPr>
            <w:r>
              <w:rPr/>
              <w:t>S-4</w:t>
            </w:r>
          </w:p>
        </w:tc>
        <w:tc>
          <w:tcPr>
            <w:tcW w:w="4533" w:type="dxa"/>
            <w:tcBorders/>
            <w:vAlign w:val="center"/>
          </w:tcPr>
          <w:p>
            <w:pPr>
              <w:pStyle w:val="TableContents"/>
              <w:bidi w:val="0"/>
              <w:spacing w:before="0" w:after="283"/>
              <w:jc w:val="left"/>
              <w:rPr/>
            </w:pPr>
            <w:r>
              <w:rPr/>
              <w:t>Changes authentication, session handling, namespace isolation or the permission filter</w:t>
            </w:r>
          </w:p>
        </w:tc>
        <w:tc>
          <w:tcPr>
            <w:tcW w:w="6472" w:type="dxa"/>
            <w:tcBorders/>
            <w:vAlign w:val="center"/>
          </w:tcPr>
          <w:p>
            <w:pPr>
              <w:pStyle w:val="TableContents"/>
              <w:bidi w:val="0"/>
              <w:spacing w:before="0" w:after="283"/>
              <w:jc w:val="left"/>
              <w:rPr/>
            </w:pPr>
            <w:r>
              <w:rPr>
                <w:rStyle w:val="SourceText"/>
              </w:rPr>
              <w:t>73f0b4f</w:t>
            </w:r>
            <w:r>
              <w:rPr/>
              <w:t xml:space="preserve"> shows how a single mis-named environment variable silently disabled an auth gate</w:t>
            </w:r>
          </w:p>
        </w:tc>
      </w:tr>
      <w:tr>
        <w:trPr/>
        <w:tc>
          <w:tcPr>
            <w:tcW w:w="334" w:type="dxa"/>
            <w:tcBorders/>
            <w:vAlign w:val="center"/>
          </w:tcPr>
          <w:p>
            <w:pPr>
              <w:pStyle w:val="TableContents"/>
              <w:bidi w:val="0"/>
              <w:spacing w:before="0" w:after="283"/>
              <w:jc w:val="left"/>
              <w:rPr/>
            </w:pPr>
            <w:r>
              <w:rPr/>
              <w:t>S-5</w:t>
            </w:r>
          </w:p>
        </w:tc>
        <w:tc>
          <w:tcPr>
            <w:tcW w:w="4533" w:type="dxa"/>
            <w:tcBorders/>
            <w:vAlign w:val="center"/>
          </w:tcPr>
          <w:p>
            <w:pPr>
              <w:pStyle w:val="TableContents"/>
              <w:bidi w:val="0"/>
              <w:spacing w:before="0" w:after="283"/>
              <w:jc w:val="left"/>
              <w:rPr/>
            </w:pPr>
            <w:r>
              <w:rPr/>
              <w:t>Changes the container topology, base images, volumes or exposed ports</w:t>
            </w:r>
          </w:p>
        </w:tc>
        <w:tc>
          <w:tcPr>
            <w:tcW w:w="6472" w:type="dxa"/>
            <w:tcBorders/>
            <w:vAlign w:val="center"/>
          </w:tcPr>
          <w:p>
            <w:pPr>
              <w:pStyle w:val="TableContents"/>
              <w:bidi w:val="0"/>
              <w:spacing w:before="0" w:after="283"/>
              <w:jc w:val="left"/>
              <w:rPr/>
            </w:pPr>
            <w:r>
              <w:rPr/>
              <w:t>Changes the attack surface and the upgrade path for every existing installation</w:t>
            </w:r>
          </w:p>
        </w:tc>
      </w:tr>
      <w:tr>
        <w:trPr/>
        <w:tc>
          <w:tcPr>
            <w:tcW w:w="334" w:type="dxa"/>
            <w:tcBorders/>
            <w:vAlign w:val="center"/>
          </w:tcPr>
          <w:p>
            <w:pPr>
              <w:pStyle w:val="TableContents"/>
              <w:bidi w:val="0"/>
              <w:spacing w:before="0" w:after="283"/>
              <w:jc w:val="left"/>
              <w:rPr/>
            </w:pPr>
            <w:r>
              <w:rPr/>
              <w:t>S-6</w:t>
            </w:r>
          </w:p>
        </w:tc>
        <w:tc>
          <w:tcPr>
            <w:tcW w:w="4533" w:type="dxa"/>
            <w:tcBorders/>
            <w:vAlign w:val="center"/>
          </w:tcPr>
          <w:p>
            <w:pPr>
              <w:pStyle w:val="TableContents"/>
              <w:bidi w:val="0"/>
              <w:spacing w:before="0" w:after="283"/>
              <w:jc w:val="left"/>
              <w:rPr/>
            </w:pPr>
            <w:r>
              <w:rPr/>
              <w:t xml:space="preserve">Changes a golden evaluation item or the pass criteria in </w:t>
            </w:r>
            <w:r>
              <w:rPr>
                <w:rStyle w:val="SourceText"/>
              </w:rPr>
              <w:t>eval/run_eval.py</w:t>
            </w:r>
          </w:p>
        </w:tc>
        <w:tc>
          <w:tcPr>
            <w:tcW w:w="6472" w:type="dxa"/>
            <w:tcBorders/>
            <w:vAlign w:val="center"/>
          </w:tcPr>
          <w:p>
            <w:pPr>
              <w:pStyle w:val="TableContents"/>
              <w:bidi w:val="0"/>
              <w:spacing w:before="0" w:after="283"/>
              <w:jc w:val="left"/>
              <w:rPr/>
            </w:pPr>
            <w:r>
              <w:rPr/>
              <w:t>Moves the acceptance bar; must not be done in the same change as the code it judges</w:t>
            </w:r>
          </w:p>
        </w:tc>
      </w:tr>
      <w:tr>
        <w:trPr/>
        <w:tc>
          <w:tcPr>
            <w:tcW w:w="334" w:type="dxa"/>
            <w:tcBorders/>
            <w:vAlign w:val="center"/>
          </w:tcPr>
          <w:p>
            <w:pPr>
              <w:pStyle w:val="TableContents"/>
              <w:bidi w:val="0"/>
              <w:spacing w:before="0" w:after="283"/>
              <w:jc w:val="left"/>
              <w:rPr/>
            </w:pPr>
            <w:r>
              <w:rPr/>
              <w:t>S-7</w:t>
            </w:r>
          </w:p>
        </w:tc>
        <w:tc>
          <w:tcPr>
            <w:tcW w:w="4533" w:type="dxa"/>
            <w:tcBorders/>
            <w:vAlign w:val="center"/>
          </w:tcPr>
          <w:p>
            <w:pPr>
              <w:pStyle w:val="TableContents"/>
              <w:bidi w:val="0"/>
              <w:spacing w:before="0" w:after="283"/>
              <w:jc w:val="left"/>
              <w:rPr/>
            </w:pPr>
            <w:r>
              <w:rPr/>
              <w:t>Affects an already-deployed customer instance, or is required by a customer commitment</w:t>
            </w:r>
          </w:p>
        </w:tc>
        <w:tc>
          <w:tcPr>
            <w:tcW w:w="6472" w:type="dxa"/>
            <w:tcBorders/>
            <w:vAlign w:val="center"/>
          </w:tcPr>
          <w:p>
            <w:pPr>
              <w:pStyle w:val="TableContents"/>
              <w:bidi w:val="0"/>
              <w:spacing w:before="0" w:after="283"/>
              <w:jc w:val="left"/>
              <w:rPr/>
            </w:pPr>
            <w:r>
              <w:rPr/>
              <w:t>Triggers customer communication and a release record (SOP-08)</w:t>
            </w:r>
          </w:p>
        </w:tc>
      </w:tr>
      <w:tr>
        <w:trPr/>
        <w:tc>
          <w:tcPr>
            <w:tcW w:w="334" w:type="dxa"/>
            <w:tcBorders/>
            <w:vAlign w:val="center"/>
          </w:tcPr>
          <w:p>
            <w:pPr>
              <w:pStyle w:val="TableContents"/>
              <w:bidi w:val="0"/>
              <w:spacing w:before="0" w:after="283"/>
              <w:jc w:val="left"/>
              <w:rPr/>
            </w:pPr>
            <w:r>
              <w:rPr/>
              <w:t>S-8</w:t>
            </w:r>
          </w:p>
        </w:tc>
        <w:tc>
          <w:tcPr>
            <w:tcW w:w="4533" w:type="dxa"/>
            <w:tcBorders/>
            <w:vAlign w:val="center"/>
          </w:tcPr>
          <w:p>
            <w:pPr>
              <w:pStyle w:val="TableContents"/>
              <w:bidi w:val="0"/>
              <w:spacing w:before="0" w:after="283"/>
              <w:jc w:val="left"/>
              <w:rPr/>
            </w:pPr>
            <w:r>
              <w:rPr/>
              <w:t>Introduces, removes or unpins an external dependency</w:t>
            </w:r>
          </w:p>
        </w:tc>
        <w:tc>
          <w:tcPr>
            <w:tcW w:w="6472" w:type="dxa"/>
            <w:tcBorders/>
            <w:vAlign w:val="center"/>
          </w:tcPr>
          <w:p>
            <w:pPr>
              <w:pStyle w:val="TableContents"/>
              <w:bidi w:val="0"/>
              <w:spacing w:before="0" w:after="283"/>
              <w:jc w:val="left"/>
              <w:rPr/>
            </w:pPr>
            <w:r>
              <w:rPr/>
              <w:t>Supplier control (SOP-09)</w:t>
            </w:r>
          </w:p>
        </w:tc>
      </w:tr>
    </w:tbl>
    <w:p>
      <w:pPr>
        <w:pStyle w:val="BodyText"/>
        <w:bidi w:val="0"/>
        <w:jc w:val="left"/>
        <w:rPr/>
      </w:pPr>
      <w:r>
        <w:rPr/>
        <w:t>Changes not meeting any criterion are implemented directly under §5 and §7, with the commit body as the record.</w:t>
      </w:r>
    </w:p>
    <w:p>
      <w:pPr>
        <w:pStyle w:val="Heading2"/>
        <w:bidi w:val="0"/>
        <w:jc w:val="left"/>
        <w:rPr/>
      </w:pPr>
      <w:r>
        <w:rPr/>
        <w:t>7. Change procedure</w:t>
      </w:r>
    </w:p>
    <w:p>
      <w:pPr>
        <w:pStyle w:val="BodyText"/>
        <w:numPr>
          <w:ilvl w:val="0"/>
          <w:numId w:val="2"/>
        </w:numPr>
        <w:tabs>
          <w:tab w:val="clear" w:pos="1134"/>
          <w:tab w:val="left" w:pos="709" w:leader="none"/>
        </w:tabs>
        <w:bidi w:val="0"/>
        <w:spacing w:before="0" w:after="0"/>
        <w:ind w:hanging="283" w:left="709"/>
        <w:jc w:val="left"/>
        <w:rPr/>
      </w:pPr>
      <w:r>
        <w:rPr>
          <w:rStyle w:val="Strong"/>
        </w:rPr>
        <w:t>Proposal.</w:t>
      </w:r>
      <w:r>
        <w:rPr/>
        <w:t xml:space="preserve"> The developer states the problem and the intended change. For a significant change (§6), this is written into </w:t>
      </w:r>
      <w:r>
        <w:rPr>
          <w:rStyle w:val="SourceText"/>
        </w:rPr>
        <w:t>forms/FRM-02_Change_Request.md</w:t>
      </w:r>
      <w:r>
        <w:rPr/>
        <w:t xml:space="preserve"> before work starts. </w:t>
      </w:r>
    </w:p>
    <w:p>
      <w:pPr>
        <w:pStyle w:val="BodyText"/>
        <w:numPr>
          <w:ilvl w:val="0"/>
          <w:numId w:val="2"/>
        </w:numPr>
        <w:tabs>
          <w:tab w:val="clear" w:pos="1134"/>
          <w:tab w:val="left" w:pos="709" w:leader="none"/>
        </w:tabs>
        <w:bidi w:val="0"/>
        <w:spacing w:before="0" w:after="0"/>
        <w:ind w:hanging="283" w:left="709"/>
        <w:jc w:val="left"/>
        <w:rPr/>
      </w:pPr>
      <w:r>
        <w:rPr>
          <w:rStyle w:val="Strong"/>
        </w:rPr>
        <w:t>Impact assessment.</w:t>
      </w:r>
      <w:r>
        <w:rPr/>
        <w:t xml:space="preserve"> The proposer identifies which configuration items in §4 are affected, which of the significance criteria apply, whether any deployed instance is affected, and what verification will be needed (SOP-07). For an S-2 or S-8 change the supplier controls in SOP-09 apply as well. </w:t>
      </w:r>
    </w:p>
    <w:p>
      <w:pPr>
        <w:pStyle w:val="BodyText"/>
        <w:numPr>
          <w:ilvl w:val="0"/>
          <w:numId w:val="2"/>
        </w:numPr>
        <w:tabs>
          <w:tab w:val="clear" w:pos="1134"/>
          <w:tab w:val="left" w:pos="709" w:leader="none"/>
        </w:tabs>
        <w:bidi w:val="0"/>
        <w:spacing w:before="0" w:after="0"/>
        <w:ind w:hanging="283" w:left="709"/>
        <w:jc w:val="left"/>
        <w:rPr/>
      </w:pPr>
      <w:r>
        <w:rPr>
          <w:rStyle w:val="Strong"/>
        </w:rPr>
        <w:t>Implementation.</w:t>
      </w:r>
      <w:r>
        <w:rPr/>
        <w:t xml:space="preserve"> Code is changed in the working tree and committed to </w:t>
      </w:r>
      <w:r>
        <w:rPr>
          <w:rStyle w:val="SourceText"/>
        </w:rPr>
        <w:t>main</w:t>
      </w:r>
      <w:r>
        <w:rPr/>
        <w:t xml:space="preserve"> with a body per §5. </w:t>
      </w:r>
    </w:p>
    <w:p>
      <w:pPr>
        <w:pStyle w:val="BodyText"/>
        <w:numPr>
          <w:ilvl w:val="0"/>
          <w:numId w:val="2"/>
        </w:numPr>
        <w:tabs>
          <w:tab w:val="clear" w:pos="1134"/>
          <w:tab w:val="left" w:pos="709" w:leader="none"/>
        </w:tabs>
        <w:bidi w:val="0"/>
        <w:spacing w:before="0" w:after="0"/>
        <w:ind w:hanging="283" w:left="709"/>
        <w:jc w:val="left"/>
        <w:rPr/>
      </w:pPr>
      <w:r>
        <w:rPr>
          <w:rStyle w:val="Strong"/>
        </w:rPr>
        <w:t>Verification.</w:t>
      </w:r>
      <w:r>
        <w:rPr/>
        <w:t xml:space="preserve"> The verification levels defined in SOP-07 are run according to what the change touched. A change meeting S-1, S-2 or S-6 requires a golden evaluation run against the running stack; the report is retained as a record. </w:t>
      </w:r>
    </w:p>
    <w:p>
      <w:pPr>
        <w:pStyle w:val="BodyText"/>
        <w:numPr>
          <w:ilvl w:val="0"/>
          <w:numId w:val="2"/>
        </w:numPr>
        <w:tabs>
          <w:tab w:val="clear" w:pos="1134"/>
          <w:tab w:val="left" w:pos="709" w:leader="none"/>
        </w:tabs>
        <w:bidi w:val="0"/>
        <w:spacing w:before="0" w:after="0"/>
        <w:ind w:hanging="283" w:left="709"/>
        <w:jc w:val="left"/>
        <w:rPr/>
      </w:pPr>
      <w:r>
        <w:rPr>
          <w:rStyle w:val="Strong"/>
        </w:rPr>
        <w:t>Reconciliation.</w:t>
      </w:r>
      <w:r>
        <w:rPr/>
        <w:t xml:space="preserve"> Any container that was hot-patched during development is rebuilt from source (§8) before the change is considered complete. </w:t>
      </w:r>
    </w:p>
    <w:p>
      <w:pPr>
        <w:pStyle w:val="BodyText"/>
        <w:numPr>
          <w:ilvl w:val="0"/>
          <w:numId w:val="2"/>
        </w:numPr>
        <w:tabs>
          <w:tab w:val="clear" w:pos="1134"/>
          <w:tab w:val="left" w:pos="709" w:leader="none"/>
        </w:tabs>
        <w:bidi w:val="0"/>
        <w:ind w:hanging="283" w:left="709"/>
        <w:jc w:val="left"/>
        <w:rPr/>
      </w:pPr>
      <w:r>
        <w:rPr>
          <w:rStyle w:val="Strong"/>
        </w:rPr>
        <w:t>Release.</w:t>
      </w:r>
      <w:r>
        <w:rPr/>
        <w:t xml:space="preserve"> Deployment is governed by SOP-08. A change is not "done" when it is committed; it is done when a built image containing it has been released or explicitly deferred. </w:t>
      </w:r>
    </w:p>
    <w:p>
      <w:pPr>
        <w:pStyle w:val="Heading2"/>
        <w:bidi w:val="0"/>
        <w:jc w:val="left"/>
        <w:rPr/>
      </w:pPr>
      <w:r>
        <w:rPr/>
        <w:t>8. Container hot-patching: a controlled exception</w:t>
      </w:r>
    </w:p>
    <w:p>
      <w:pPr>
        <w:pStyle w:val="BodyText"/>
        <w:bidi w:val="0"/>
        <w:jc w:val="left"/>
        <w:rPr/>
      </w:pPr>
      <w:r>
        <w:rPr/>
        <w:t>Rebuilding the backend or voice image is slow, because the build downloads and warms large model weights (</w:t>
      </w:r>
      <w:r>
        <w:rPr>
          <w:rStyle w:val="SourceText"/>
        </w:rPr>
        <w:t>backend/Dockerfile:42</w:t>
      </w:r>
      <w:r>
        <w:rPr/>
        <w:t xml:space="preserve">, </w:t>
      </w:r>
      <w:r>
        <w:rPr>
          <w:rStyle w:val="SourceText"/>
        </w:rPr>
        <w:t>voice/Dockerfile:44-50</w:t>
      </w:r>
      <w:r>
        <w:rPr/>
        <w:t xml:space="preserve">) and </w:t>
      </w:r>
      <w:r>
        <w:rPr>
          <w:rStyle w:val="SourceText"/>
        </w:rPr>
        <w:t>scripts/build.sh:2-4</w:t>
      </w:r>
      <w:r>
        <w:rPr/>
        <w:t xml:space="preserve"> deliberately serialises the backend build to avoid a BuildKit "file already closed" failure during that download. A </w:t>
      </w:r>
      <w:r>
        <w:rPr>
          <w:rStyle w:val="SourceText"/>
        </w:rPr>
        <w:t>docker cp</w:t>
      </w:r>
      <w:r>
        <w:rPr/>
        <w:t xml:space="preserve"> of changed files into a running container, followed by </w:t>
      </w:r>
      <w:r>
        <w:rPr>
          <w:rStyle w:val="SourceText"/>
        </w:rPr>
        <w:t>docker commit</w:t>
      </w:r>
      <w:r>
        <w:rPr/>
        <w:t xml:space="preserve"> and a restart, is therefore used for fast iteration — particularly on the voice service.</w:t>
      </w:r>
    </w:p>
    <w:p>
      <w:pPr>
        <w:pStyle w:val="BodyText"/>
        <w:bidi w:val="0"/>
        <w:jc w:val="left"/>
        <w:rPr/>
      </w:pPr>
      <w:r>
        <w:rPr>
          <w:rStyle w:val="Strong"/>
        </w:rPr>
        <w:t>This is permitted for iteration only, and is subject to the following mandatory rules.</w:t>
      </w:r>
    </w:p>
    <w:p>
      <w:pPr>
        <w:pStyle w:val="BodyText"/>
        <w:numPr>
          <w:ilvl w:val="0"/>
          <w:numId w:val="3"/>
        </w:numPr>
        <w:tabs>
          <w:tab w:val="clear" w:pos="1134"/>
          <w:tab w:val="left" w:pos="709" w:leader="none"/>
        </w:tabs>
        <w:bidi w:val="0"/>
        <w:spacing w:before="0" w:after="0"/>
        <w:ind w:hanging="283" w:left="709"/>
        <w:jc w:val="left"/>
        <w:rPr/>
      </w:pPr>
      <w:r>
        <w:rPr/>
        <w:t xml:space="preserve">A hot-patched container is a </w:t>
      </w:r>
      <w:r>
        <w:rPr>
          <w:rStyle w:val="Strong"/>
        </w:rPr>
        <w:t>development state</w:t>
      </w:r>
      <w:r>
        <w:rPr/>
        <w:t xml:space="preserve">, never a release. It must not be presented to a customer, used to produce an evaluation record, or left running on the reference instance beyond the working session. </w:t>
      </w:r>
    </w:p>
    <w:p>
      <w:pPr>
        <w:pStyle w:val="BodyText"/>
        <w:numPr>
          <w:ilvl w:val="0"/>
          <w:numId w:val="3"/>
        </w:numPr>
        <w:tabs>
          <w:tab w:val="clear" w:pos="1134"/>
          <w:tab w:val="left" w:pos="709" w:leader="none"/>
        </w:tabs>
        <w:bidi w:val="0"/>
        <w:spacing w:before="0" w:after="0"/>
        <w:ind w:hanging="283" w:left="709"/>
        <w:jc w:val="left"/>
        <w:rPr/>
      </w:pPr>
      <w:r>
        <w:rPr/>
        <w:t xml:space="preserve">The same change </w:t>
      </w:r>
      <w:r>
        <w:rPr>
          <w:rStyle w:val="Strong"/>
        </w:rPr>
        <w:t>must</w:t>
      </w:r>
      <w:r>
        <w:rPr/>
        <w:t xml:space="preserve"> be committed to the repository and the image </w:t>
      </w:r>
      <w:r>
        <w:rPr>
          <w:rStyle w:val="Strong"/>
        </w:rPr>
        <w:t>must</w:t>
      </w:r>
      <w:r>
        <w:rPr/>
        <w:t xml:space="preserve"> be rebuilt with </w:t>
      </w:r>
      <w:r>
        <w:rPr>
          <w:rStyle w:val="SourceText"/>
        </w:rPr>
        <w:t>./scripts/build.sh</w:t>
      </w:r>
      <w:r>
        <w:rPr/>
        <w:t xml:space="preserve"> (or </w:t>
      </w:r>
      <w:r>
        <w:rPr>
          <w:rStyle w:val="SourceText"/>
        </w:rPr>
        <w:t>docker compose build</w:t>
      </w:r>
      <w:r>
        <w:rPr/>
        <w:t xml:space="preserve">) before the change is treated as delivered. </w:t>
      </w:r>
    </w:p>
    <w:p>
      <w:pPr>
        <w:pStyle w:val="BodyText"/>
        <w:numPr>
          <w:ilvl w:val="0"/>
          <w:numId w:val="3"/>
        </w:numPr>
        <w:tabs>
          <w:tab w:val="clear" w:pos="1134"/>
          <w:tab w:val="left" w:pos="709" w:leader="none"/>
        </w:tabs>
        <w:bidi w:val="0"/>
        <w:ind w:hanging="283" w:left="709"/>
        <w:jc w:val="left"/>
        <w:rPr/>
      </w:pPr>
      <w:r>
        <w:rPr/>
        <w:t xml:space="preserve">Until that rebuild has been done and the stack restarted from the rebuilt images, the running system does not correspond to any source revision and no statement may be made about what it contains. </w:t>
      </w:r>
    </w:p>
    <w:p>
      <w:pPr>
        <w:pStyle w:val="BodyText"/>
        <w:bidi w:val="0"/>
        <w:jc w:val="left"/>
        <w:rPr/>
      </w:pPr>
      <w:r>
        <w:rPr>
          <w:rStyle w:val="Strong"/>
        </w:rPr>
        <w:t>Evidence for this rule.</w:t>
      </w:r>
      <w:r>
        <w:rPr/>
        <w:t xml:space="preserve"> Commit </w:t>
      </w:r>
      <w:r>
        <w:rPr>
          <w:rStyle w:val="SourceText"/>
        </w:rPr>
        <w:t>724fb98</w:t>
      </w:r>
      <w:r>
        <w:rPr/>
        <w:t xml:space="preserve"> records exactly this failure mode. The running containers carried </w:t>
      </w:r>
      <w:r>
        <w:rPr>
          <w:rStyle w:val="SourceText"/>
        </w:rPr>
        <w:t>docker cp</w:t>
      </w:r>
      <w:r>
        <w:rPr/>
        <w:t xml:space="preserve">-applied layers; when the images were finally rebuilt from source, three latent breakages surfaced at once — a heredoc inside a </w:t>
      </w:r>
      <w:r>
        <w:rPr>
          <w:rStyle w:val="SourceText"/>
        </w:rPr>
        <w:t>RUN</w:t>
      </w:r>
      <w:r>
        <w:rPr/>
        <w:t xml:space="preserve"> continuation that made </w:t>
      </w:r>
      <w:r>
        <w:rPr>
          <w:rStyle w:val="SourceText"/>
        </w:rPr>
        <w:t>docker compose build voice</w:t>
      </w:r>
      <w:r>
        <w:rPr/>
        <w:t xml:space="preserve"> fail outright, a </w:t>
      </w:r>
      <w:r>
        <w:rPr>
          <w:rStyle w:val="SourceText"/>
        </w:rPr>
        <w:t>setuptools&gt;=82</w:t>
      </w:r>
      <w:r>
        <w:rPr/>
        <w:t xml:space="preserve"> upgrade pulled in by </w:t>
      </w:r>
      <w:r>
        <w:rPr>
          <w:rStyle w:val="SourceText"/>
        </w:rPr>
        <w:t>nemo_toolkit @ git+…@main</w:t>
      </w:r>
      <w:r>
        <w:rPr/>
        <w:t xml:space="preserve"> that removed </w:t>
      </w:r>
      <w:r>
        <w:rPr>
          <w:rStyle w:val="SourceText"/>
        </w:rPr>
        <w:t>pkg_resources</w:t>
      </w:r>
      <w:r>
        <w:rPr/>
        <w:t xml:space="preserve"> and broke </w:t>
      </w:r>
      <w:r>
        <w:rPr>
          <w:rStyle w:val="SourceText"/>
        </w:rPr>
        <w:t>librosa</w:t>
      </w:r>
      <w:r>
        <w:rPr/>
        <w:t xml:space="preserve"> at build and </w:t>
      </w:r>
      <w:r>
        <w:rPr>
          <w:rStyle w:val="SourceText"/>
        </w:rPr>
        <w:t>webrtcvad</w:t>
      </w:r>
      <w:r>
        <w:rPr/>
        <w:t xml:space="preserve"> at runtime, and a boardroom JSON-truncation defect. None of these were visible while the containers were being patched in place. The drift was real, it accumulated silently, and it was only discovered because someone eventually did a clean rebuild.</w:t>
      </w:r>
    </w:p>
    <w:p>
      <w:pPr>
        <w:pStyle w:val="Heading2"/>
        <w:bidi w:val="0"/>
        <w:jc w:val="left"/>
        <w:rPr/>
      </w:pPr>
      <w:r>
        <w:rPr/>
        <w:t>9. Traceability requirement — source revision to deployed instance</w:t>
      </w:r>
    </w:p>
    <w:p>
      <w:pPr>
        <w:pStyle w:val="BodyText"/>
        <w:bidi w:val="0"/>
        <w:jc w:val="left"/>
        <w:rPr/>
      </w:pPr>
      <w:r>
        <w:rPr/>
        <w:t xml:space="preserve">ISO 9001:2015 8.5.2 requires identification of outputs where traceability is a requirement. For a product installed inside a customer's perimeter and supported remotely or not at all, traceability from a running instance back to its source revision </w:t>
      </w:r>
      <w:r>
        <w:rPr>
          <w:rStyle w:val="Strong"/>
        </w:rPr>
        <w:t>is</w:t>
      </w:r>
      <w:r>
        <w:rPr/>
        <w:t xml:space="preserve"> a requirement: without it, a customer fault report cannot be tied to code.</w:t>
      </w:r>
    </w:p>
    <w:p>
      <w:pPr>
        <w:pStyle w:val="BodyText"/>
        <w:bidi w:val="0"/>
        <w:jc w:val="left"/>
        <w:rPr/>
      </w:pPr>
      <w:r>
        <w:rPr>
          <w:rStyle w:val="Strong"/>
        </w:rPr>
        <w:t>Required chain (to be established):</w:t>
      </w:r>
    </w:p>
    <w:p>
      <w:pPr>
        <w:pStyle w:val="PreformattedText"/>
        <w:bidi w:val="0"/>
        <w:jc w:val="left"/>
        <w:rPr/>
      </w:pPr>
      <w:r>
        <w:rPr>
          <w:rStyle w:val="SourceText"/>
        </w:rPr>
        <w:t>git commit SHA  →  annotated git tag  →  image tag carrying that version</w:t>
      </w:r>
    </w:p>
    <w:p>
      <w:pPr>
        <w:pStyle w:val="PreformattedText"/>
        <w:bidi w:val="0"/>
        <w:jc w:val="left"/>
        <w:rPr/>
      </w:pPr>
      <w:r>
        <w:rPr>
          <w:rStyle w:val="SourceText"/>
        </w:rPr>
        <w:t xml:space="preserve">                →  </w:t>
      </w:r>
      <w:r>
        <w:rPr>
          <w:rStyle w:val="SourceText"/>
        </w:rPr>
        <w:t>build identifier baked into the image</w:t>
      </w:r>
    </w:p>
    <w:p>
      <w:pPr>
        <w:pStyle w:val="PreformattedText"/>
        <w:bidi w:val="0"/>
        <w:jc w:val="left"/>
        <w:rPr/>
      </w:pPr>
      <w:r>
        <w:rPr>
          <w:rStyle w:val="SourceText"/>
        </w:rPr>
        <w:t xml:space="preserve">                →  </w:t>
      </w:r>
      <w:r>
        <w:rPr>
          <w:rStyle w:val="SourceText"/>
        </w:rPr>
        <w:t>the same identifier returned by a backend endpoint</w:t>
      </w:r>
    </w:p>
    <w:p>
      <w:pPr>
        <w:pStyle w:val="PreformattedText"/>
        <w:bidi w:val="0"/>
        <w:spacing w:before="0" w:after="283"/>
        <w:jc w:val="left"/>
        <w:rPr/>
      </w:pPr>
      <w:r>
        <w:rPr>
          <w:rStyle w:val="SourceText"/>
        </w:rPr>
        <w:t xml:space="preserve">                →  </w:t>
      </w:r>
      <w:r>
        <w:rPr>
          <w:rStyle w:val="SourceText"/>
        </w:rPr>
        <w:t>the deployment register entry for that customer instance</w:t>
      </w:r>
    </w:p>
    <w:p>
      <w:pPr>
        <w:pStyle w:val="BodyText"/>
        <w:bidi w:val="0"/>
        <w:jc w:val="left"/>
        <w:rPr/>
      </w:pPr>
      <w:r>
        <w:rPr>
          <w:rStyle w:val="Strong"/>
        </w:rPr>
        <w:t>Present state: none of this chain exists.</w:t>
      </w:r>
    </w:p>
    <w:tbl>
      <w:tblPr>
        <w:tblW w:w="11339" w:type="dxa"/>
        <w:jc w:val="left"/>
        <w:tblInd w:w="0" w:type="dxa"/>
        <w:tblLayout w:type="fixed"/>
        <w:tblCellMar>
          <w:top w:w="28" w:type="dxa"/>
          <w:left w:w="28" w:type="dxa"/>
          <w:bottom w:w="28" w:type="dxa"/>
          <w:right w:w="28" w:type="dxa"/>
        </w:tblCellMar>
      </w:tblPr>
      <w:tblGrid>
        <w:gridCol w:w="1375"/>
        <w:gridCol w:w="7047"/>
        <w:gridCol w:w="2917"/>
      </w:tblGrid>
      <w:tr>
        <w:trPr>
          <w:tblHeader w:val="true"/>
        </w:trPr>
        <w:tc>
          <w:tcPr>
            <w:tcW w:w="1375" w:type="dxa"/>
            <w:tcBorders/>
            <w:vAlign w:val="center"/>
          </w:tcPr>
          <w:p>
            <w:pPr>
              <w:pStyle w:val="TableHeading"/>
              <w:suppressLineNumbers/>
              <w:shd w:fill="1F3A5F" w:val="clear"/>
              <w:bidi w:val="0"/>
              <w:spacing w:before="0" w:after="283"/>
              <w:jc w:val="center"/>
              <w:rPr/>
            </w:pPr>
            <w:r>
              <w:rPr/>
              <w:t>Link</w:t>
            </w:r>
          </w:p>
        </w:tc>
        <w:tc>
          <w:tcPr>
            <w:tcW w:w="7047" w:type="dxa"/>
            <w:tcBorders/>
            <w:vAlign w:val="center"/>
          </w:tcPr>
          <w:p>
            <w:pPr>
              <w:pStyle w:val="TableHeading"/>
              <w:suppressLineNumbers/>
              <w:shd w:fill="1F3A5F" w:val="clear"/>
              <w:bidi w:val="0"/>
              <w:spacing w:before="0" w:after="283"/>
              <w:jc w:val="center"/>
              <w:rPr/>
            </w:pPr>
            <w:r>
              <w:rPr/>
              <w:t>Present state</w:t>
            </w:r>
          </w:p>
        </w:tc>
        <w:tc>
          <w:tcPr>
            <w:tcW w:w="2917" w:type="dxa"/>
            <w:tcBorders/>
            <w:vAlign w:val="center"/>
          </w:tcPr>
          <w:p>
            <w:pPr>
              <w:pStyle w:val="TableHeading"/>
              <w:suppressLineNumbers/>
              <w:shd w:fill="1F3A5F" w:val="clear"/>
              <w:bidi w:val="0"/>
              <w:spacing w:before="0" w:after="283"/>
              <w:jc w:val="center"/>
              <w:rPr/>
            </w:pPr>
            <w:r>
              <w:rPr/>
              <w:t>Evidence</w:t>
            </w:r>
          </w:p>
        </w:tc>
      </w:tr>
      <w:tr>
        <w:trPr/>
        <w:tc>
          <w:tcPr>
            <w:tcW w:w="1375" w:type="dxa"/>
            <w:tcBorders/>
            <w:vAlign w:val="center"/>
          </w:tcPr>
          <w:p>
            <w:pPr>
              <w:pStyle w:val="TableContents"/>
              <w:bidi w:val="0"/>
              <w:spacing w:before="0" w:after="283"/>
              <w:jc w:val="left"/>
              <w:rPr/>
            </w:pPr>
            <w:r>
              <w:rPr/>
              <w:t>Git tag</w:t>
            </w:r>
          </w:p>
        </w:tc>
        <w:tc>
          <w:tcPr>
            <w:tcW w:w="7047" w:type="dxa"/>
            <w:tcBorders/>
            <w:vAlign w:val="center"/>
          </w:tcPr>
          <w:p>
            <w:pPr>
              <w:pStyle w:val="TableContents"/>
              <w:bidi w:val="0"/>
              <w:spacing w:before="0" w:after="283"/>
              <w:jc w:val="left"/>
              <w:rPr/>
            </w:pPr>
            <w:r>
              <w:rPr/>
              <w:t>No tags exist at all</w:t>
            </w:r>
          </w:p>
        </w:tc>
        <w:tc>
          <w:tcPr>
            <w:tcW w:w="2917" w:type="dxa"/>
            <w:tcBorders/>
            <w:vAlign w:val="center"/>
          </w:tcPr>
          <w:p>
            <w:pPr>
              <w:pStyle w:val="TableContents"/>
              <w:bidi w:val="0"/>
              <w:spacing w:before="0" w:after="283"/>
              <w:jc w:val="left"/>
              <w:rPr/>
            </w:pPr>
            <w:r>
              <w:rPr>
                <w:rStyle w:val="SourceText"/>
              </w:rPr>
              <w:t>git tag</w:t>
            </w:r>
            <w:r>
              <w:rPr/>
              <w:t xml:space="preserve"> returns nothing</w:t>
            </w:r>
          </w:p>
        </w:tc>
      </w:tr>
      <w:tr>
        <w:trPr/>
        <w:tc>
          <w:tcPr>
            <w:tcW w:w="1375" w:type="dxa"/>
            <w:tcBorders/>
            <w:vAlign w:val="center"/>
          </w:tcPr>
          <w:p>
            <w:pPr>
              <w:pStyle w:val="TableContents"/>
              <w:bidi w:val="0"/>
              <w:spacing w:before="0" w:after="283"/>
              <w:jc w:val="left"/>
              <w:rPr/>
            </w:pPr>
            <w:r>
              <w:rPr/>
              <w:t>Changelog</w:t>
            </w:r>
          </w:p>
        </w:tc>
        <w:tc>
          <w:tcPr>
            <w:tcW w:w="7047" w:type="dxa"/>
            <w:tcBorders/>
            <w:vAlign w:val="center"/>
          </w:tcPr>
          <w:p>
            <w:pPr>
              <w:pStyle w:val="TableContents"/>
              <w:bidi w:val="0"/>
              <w:spacing w:before="0" w:after="283"/>
              <w:jc w:val="left"/>
              <w:rPr/>
            </w:pPr>
            <w:r>
              <w:rPr/>
              <w:t>None</w:t>
            </w:r>
          </w:p>
        </w:tc>
        <w:tc>
          <w:tcPr>
            <w:tcW w:w="2917" w:type="dxa"/>
            <w:tcBorders/>
            <w:vAlign w:val="center"/>
          </w:tcPr>
          <w:p>
            <w:pPr>
              <w:pStyle w:val="TableContents"/>
              <w:bidi w:val="0"/>
              <w:spacing w:before="0" w:after="283"/>
              <w:jc w:val="left"/>
              <w:rPr/>
            </w:pPr>
            <w:r>
              <w:rPr/>
              <w:t xml:space="preserve">No </w:t>
            </w:r>
            <w:r>
              <w:rPr>
                <w:rStyle w:val="SourceText"/>
              </w:rPr>
              <w:t>CHANGELOG</w:t>
            </w:r>
            <w:r>
              <w:rPr/>
              <w:t xml:space="preserve"> in the tree</w:t>
            </w:r>
          </w:p>
        </w:tc>
      </w:tr>
      <w:tr>
        <w:trPr/>
        <w:tc>
          <w:tcPr>
            <w:tcW w:w="1375" w:type="dxa"/>
            <w:tcBorders/>
            <w:vAlign w:val="center"/>
          </w:tcPr>
          <w:p>
            <w:pPr>
              <w:pStyle w:val="TableContents"/>
              <w:bidi w:val="0"/>
              <w:spacing w:before="0" w:after="283"/>
              <w:jc w:val="left"/>
              <w:rPr/>
            </w:pPr>
            <w:r>
              <w:rPr/>
              <w:t>Application version</w:t>
            </w:r>
          </w:p>
        </w:tc>
        <w:tc>
          <w:tcPr>
            <w:tcW w:w="7047" w:type="dxa"/>
            <w:tcBorders/>
            <w:vAlign w:val="center"/>
          </w:tcPr>
          <w:p>
            <w:pPr>
              <w:pStyle w:val="TableContents"/>
              <w:bidi w:val="0"/>
              <w:spacing w:before="0" w:after="283"/>
              <w:jc w:val="left"/>
              <w:rPr/>
            </w:pPr>
            <w:r>
              <w:rPr>
                <w:rStyle w:val="SourceText"/>
              </w:rPr>
              <w:t>frontend/package.json:4</w:t>
            </w:r>
            <w:r>
              <w:rPr/>
              <w:t xml:space="preserve"> is </w:t>
            </w:r>
            <w:r>
              <w:rPr>
                <w:rStyle w:val="SourceText"/>
              </w:rPr>
              <w:t>"version": "0.0.0"</w:t>
            </w:r>
            <w:r>
              <w:rPr/>
              <w:t xml:space="preserve">; no </w:t>
            </w:r>
            <w:r>
              <w:rPr>
                <w:rStyle w:val="SourceText"/>
              </w:rPr>
              <w:t>__version__</w:t>
            </w:r>
            <w:r>
              <w:rPr/>
              <w:t xml:space="preserve"> in backend, voice or the vendored </w:t>
            </w:r>
            <w:r>
              <w:rPr>
                <w:rStyle w:val="SourceText"/>
              </w:rPr>
              <w:t>nemotron_asr</w:t>
            </w:r>
            <w:r>
              <w:rPr/>
              <w:t xml:space="preserve"> package</w:t>
            </w:r>
          </w:p>
        </w:tc>
        <w:tc>
          <w:tcPr>
            <w:tcW w:w="2917" w:type="dxa"/>
            <w:tcBorders/>
            <w:vAlign w:val="center"/>
          </w:tcPr>
          <w:p>
            <w:pPr>
              <w:pStyle w:val="TableContents"/>
              <w:bidi w:val="0"/>
              <w:spacing w:before="0" w:after="283"/>
              <w:jc w:val="left"/>
              <w:rPr/>
            </w:pPr>
            <w:r>
              <w:rPr/>
              <w:t>—</w:t>
            </w:r>
          </w:p>
        </w:tc>
      </w:tr>
      <w:tr>
        <w:trPr/>
        <w:tc>
          <w:tcPr>
            <w:tcW w:w="1375" w:type="dxa"/>
            <w:tcBorders/>
            <w:vAlign w:val="center"/>
          </w:tcPr>
          <w:p>
            <w:pPr>
              <w:pStyle w:val="TableContents"/>
              <w:bidi w:val="0"/>
              <w:spacing w:before="0" w:after="283"/>
              <w:jc w:val="left"/>
              <w:rPr/>
            </w:pPr>
            <w:r>
              <w:rPr/>
              <w:t>Image tags</w:t>
            </w:r>
          </w:p>
        </w:tc>
        <w:tc>
          <w:tcPr>
            <w:tcW w:w="7047" w:type="dxa"/>
            <w:tcBorders/>
            <w:vAlign w:val="center"/>
          </w:tcPr>
          <w:p>
            <w:pPr>
              <w:pStyle w:val="TableContents"/>
              <w:bidi w:val="0"/>
              <w:spacing w:before="0" w:after="283"/>
              <w:jc w:val="left"/>
              <w:rPr/>
            </w:pPr>
            <w:r>
              <w:rPr>
                <w:rStyle w:val="SourceText"/>
              </w:rPr>
              <w:t>backend</w:t>
            </w:r>
            <w:r>
              <w:rPr/>
              <w:t xml:space="preserve">, </w:t>
            </w:r>
            <w:r>
              <w:rPr>
                <w:rStyle w:val="SourceText"/>
              </w:rPr>
              <w:t>voice</w:t>
            </w:r>
            <w:r>
              <w:rPr/>
              <w:t xml:space="preserve"> and </w:t>
            </w:r>
            <w:r>
              <w:rPr>
                <w:rStyle w:val="SourceText"/>
              </w:rPr>
              <w:t>frontend</w:t>
            </w:r>
            <w:r>
              <w:rPr/>
              <w:t xml:space="preserve"> are compose-default builds with no </w:t>
            </w:r>
            <w:r>
              <w:rPr>
                <w:rStyle w:val="SourceText"/>
              </w:rPr>
              <w:t>image:</w:t>
            </w:r>
            <w:r>
              <w:rPr/>
              <w:t xml:space="preserve"> key, so they are effectively </w:t>
            </w:r>
            <w:r>
              <w:rPr>
                <w:rStyle w:val="SourceText"/>
              </w:rPr>
              <w:t>:latest</w:t>
            </w:r>
            <w:r>
              <w:rPr/>
              <w:t xml:space="preserve">. Only </w:t>
            </w:r>
            <w:r>
              <w:rPr>
                <w:rStyle w:val="SourceText"/>
              </w:rPr>
              <w:t>echomind-trtllm:1.2.0rc6</w:t>
            </w:r>
            <w:r>
              <w:rPr/>
              <w:t xml:space="preserve"> (</w:t>
            </w:r>
            <w:r>
              <w:rPr>
                <w:rStyle w:val="SourceText"/>
              </w:rPr>
              <w:t>docker-compose.yml:5</w:t>
            </w:r>
            <w:r>
              <w:rPr/>
              <w:t xml:space="preserve">) and </w:t>
            </w:r>
            <w:r>
              <w:rPr>
                <w:rStyle w:val="SourceText"/>
              </w:rPr>
              <w:t>echomind-ollama:setup</w:t>
            </w:r>
            <w:r>
              <w:rPr/>
              <w:t xml:space="preserve"> (</w:t>
            </w:r>
            <w:r>
              <w:rPr>
                <w:rStyle w:val="SourceText"/>
              </w:rPr>
              <w:t>:235</w:t>
            </w:r>
            <w:r>
              <w:rPr/>
              <w:t>) carry a tag</w:t>
            </w:r>
          </w:p>
        </w:tc>
        <w:tc>
          <w:tcPr>
            <w:tcW w:w="2917" w:type="dxa"/>
            <w:tcBorders/>
            <w:vAlign w:val="center"/>
          </w:tcPr>
          <w:p>
            <w:pPr>
              <w:pStyle w:val="TableContents"/>
              <w:bidi w:val="0"/>
              <w:spacing w:before="0" w:after="283"/>
              <w:jc w:val="left"/>
              <w:rPr/>
            </w:pPr>
            <w:r>
              <w:rPr>
                <w:rStyle w:val="SourceText"/>
              </w:rPr>
              <w:t>docker-compose.yml:207-212</w:t>
            </w:r>
            <w:r>
              <w:rPr/>
              <w:t xml:space="preserve">, </w:t>
            </w:r>
            <w:r>
              <w:rPr>
                <w:rStyle w:val="SourceText"/>
              </w:rPr>
              <w:t>:47-57</w:t>
            </w:r>
            <w:r>
              <w:rPr/>
              <w:t xml:space="preserve">, </w:t>
            </w:r>
            <w:r>
              <w:rPr>
                <w:rStyle w:val="SourceText"/>
              </w:rPr>
              <w:t>:115-125</w:t>
            </w:r>
          </w:p>
        </w:tc>
      </w:tr>
      <w:tr>
        <w:trPr/>
        <w:tc>
          <w:tcPr>
            <w:tcW w:w="1375" w:type="dxa"/>
            <w:tcBorders/>
            <w:vAlign w:val="center"/>
          </w:tcPr>
          <w:p>
            <w:pPr>
              <w:pStyle w:val="TableContents"/>
              <w:bidi w:val="0"/>
              <w:spacing w:before="0" w:after="283"/>
              <w:jc w:val="left"/>
              <w:rPr/>
            </w:pPr>
            <w:r>
              <w:rPr/>
              <w:t>Build identifier at runtime</w:t>
            </w:r>
          </w:p>
        </w:tc>
        <w:tc>
          <w:tcPr>
            <w:tcW w:w="7047" w:type="dxa"/>
            <w:tcBorders/>
            <w:vAlign w:val="center"/>
          </w:tcPr>
          <w:p>
            <w:pPr>
              <w:pStyle w:val="TableContents"/>
              <w:bidi w:val="0"/>
              <w:spacing w:before="0" w:after="283"/>
              <w:jc w:val="left"/>
              <w:rPr/>
            </w:pPr>
            <w:r>
              <w:rPr/>
              <w:t>No endpoint reports a build or commit identifier</w:t>
            </w:r>
          </w:p>
        </w:tc>
        <w:tc>
          <w:tcPr>
            <w:tcW w:w="2917" w:type="dxa"/>
            <w:tcBorders/>
            <w:vAlign w:val="center"/>
          </w:tcPr>
          <w:p>
            <w:pPr>
              <w:pStyle w:val="TableContents"/>
              <w:bidi w:val="0"/>
              <w:spacing w:before="0" w:after="283"/>
              <w:jc w:val="left"/>
              <w:rPr/>
            </w:pPr>
            <w:r>
              <w:rPr/>
              <w:t>—</w:t>
            </w:r>
          </w:p>
        </w:tc>
      </w:tr>
      <w:tr>
        <w:trPr/>
        <w:tc>
          <w:tcPr>
            <w:tcW w:w="1375" w:type="dxa"/>
            <w:tcBorders/>
            <w:vAlign w:val="center"/>
          </w:tcPr>
          <w:p>
            <w:pPr>
              <w:pStyle w:val="TableContents"/>
              <w:bidi w:val="0"/>
              <w:spacing w:before="0" w:after="283"/>
              <w:jc w:val="left"/>
              <w:rPr/>
            </w:pPr>
            <w:r>
              <w:rPr/>
              <w:t>Deployment register</w:t>
            </w:r>
          </w:p>
        </w:tc>
        <w:tc>
          <w:tcPr>
            <w:tcW w:w="7047" w:type="dxa"/>
            <w:tcBorders/>
            <w:vAlign w:val="center"/>
          </w:tcPr>
          <w:p>
            <w:pPr>
              <w:pStyle w:val="TableContents"/>
              <w:bidi w:val="0"/>
              <w:spacing w:before="0" w:after="283"/>
              <w:jc w:val="left"/>
              <w:rPr/>
            </w:pPr>
            <w:r>
              <w:rPr/>
              <w:t>Does not exist</w:t>
            </w:r>
          </w:p>
        </w:tc>
        <w:tc>
          <w:tcPr>
            <w:tcW w:w="2917" w:type="dxa"/>
            <w:tcBorders/>
            <w:vAlign w:val="center"/>
          </w:tcPr>
          <w:p>
            <w:pPr>
              <w:pStyle w:val="TableContents"/>
              <w:bidi w:val="0"/>
              <w:spacing w:before="0" w:after="283"/>
              <w:jc w:val="left"/>
              <w:rPr/>
            </w:pPr>
            <w:r>
              <w:rPr>
                <w:rStyle w:val="SourceText"/>
              </w:rPr>
              <w:t>docs/qms/registers/</w:t>
            </w:r>
            <w:r>
              <w:rPr/>
              <w:t xml:space="preserve"> is empty</w:t>
            </w:r>
          </w:p>
        </w:tc>
      </w:tr>
    </w:tbl>
    <w:p>
      <w:pPr>
        <w:pStyle w:val="BodyText"/>
        <w:bidi w:val="0"/>
        <w:jc w:val="left"/>
        <w:rPr/>
      </w:pPr>
      <w:r>
        <w:rPr>
          <w:rStyle w:val="Strong"/>
        </w:rPr>
        <w:t>Consequence to state plainly to an auditor:</w:t>
      </w:r>
      <w:r>
        <w:rPr/>
        <w:t xml:space="preserve"> given a running EchoMind Enterprise instance today, it is not possible to determine which source revision produced it. Closing this is the single most valuable configuration-management improvement available to the organisation, and it is a prerequisite for the release identification scheme in SOP-08 §7.</w:t>
      </w:r>
    </w:p>
    <w:p>
      <w:pPr>
        <w:pStyle w:val="Heading2"/>
        <w:bidi w:val="0"/>
        <w:jc w:val="left"/>
        <w:rPr/>
      </w:pPr>
      <w:r>
        <w:rPr/>
        <w:t>10. Configuration of the deployed environment</w:t>
      </w:r>
    </w:p>
    <w:p>
      <w:pPr>
        <w:pStyle w:val="BodyText"/>
        <w:bidi w:val="0"/>
        <w:jc w:val="left"/>
        <w:rPr/>
      </w:pPr>
      <w:r>
        <w:rPr/>
        <w:t xml:space="preserve">The deployed configuration is the composition of </w:t>
      </w:r>
      <w:r>
        <w:rPr>
          <w:rStyle w:val="SourceText"/>
        </w:rPr>
        <w:t>docker-compose.yml</w:t>
      </w:r>
      <w:r>
        <w:rPr/>
        <w:t xml:space="preserve">, the host's </w:t>
      </w:r>
      <w:r>
        <w:rPr>
          <w:rStyle w:val="SourceText"/>
        </w:rPr>
        <w:t>.env</w:t>
      </w:r>
      <w:r>
        <w:rPr/>
        <w:t>, the contents of the three named volumes, and the bind-mounted voice assets.</w:t>
      </w:r>
    </w:p>
    <w:p>
      <w:pPr>
        <w:pStyle w:val="BodyText"/>
        <w:numPr>
          <w:ilvl w:val="0"/>
          <w:numId w:val="4"/>
        </w:numPr>
        <w:tabs>
          <w:tab w:val="clear" w:pos="1134"/>
          <w:tab w:val="left" w:pos="709" w:leader="none"/>
        </w:tabs>
        <w:bidi w:val="0"/>
        <w:spacing w:before="0" w:after="0"/>
        <w:ind w:hanging="283" w:left="709"/>
        <w:jc w:val="left"/>
        <w:rPr/>
      </w:pPr>
      <w:r>
        <w:rPr>
          <w:rStyle w:val="Strong"/>
        </w:rPr>
        <w:t>Six services</w:t>
      </w:r>
      <w:r>
        <w:rPr/>
        <w:t xml:space="preserve"> are defined: </w:t>
      </w:r>
      <w:r>
        <w:rPr>
          <w:rStyle w:val="SourceText"/>
        </w:rPr>
        <w:t>trtllm</w:t>
      </w:r>
      <w:r>
        <w:rPr/>
        <w:t xml:space="preserve">, </w:t>
      </w:r>
      <w:r>
        <w:rPr>
          <w:rStyle w:val="SourceText"/>
        </w:rPr>
        <w:t>backend</w:t>
      </w:r>
      <w:r>
        <w:rPr/>
        <w:t xml:space="preserve">, </w:t>
      </w:r>
      <w:r>
        <w:rPr>
          <w:rStyle w:val="SourceText"/>
        </w:rPr>
        <w:t>voice</w:t>
      </w:r>
      <w:r>
        <w:rPr/>
        <w:t xml:space="preserve">, </w:t>
      </w:r>
      <w:r>
        <w:rPr>
          <w:rStyle w:val="SourceText"/>
        </w:rPr>
        <w:t>frontend</w:t>
      </w:r>
      <w:r>
        <w:rPr/>
        <w:t xml:space="preserve">, </w:t>
      </w:r>
      <w:r>
        <w:rPr>
          <w:rStyle w:val="SourceText"/>
        </w:rPr>
        <w:t>cloudflared</w:t>
      </w:r>
      <w:r>
        <w:rPr/>
        <w:t xml:space="preserve"> (only with </w:t>
      </w:r>
      <w:r>
        <w:rPr>
          <w:rStyle w:val="SourceText"/>
        </w:rPr>
        <w:t>--profile public</w:t>
      </w:r>
      <w:r>
        <w:rPr/>
        <w:t xml:space="preserve">, </w:t>
      </w:r>
      <w:r>
        <w:rPr>
          <w:rStyle w:val="SourceText"/>
        </w:rPr>
        <w:t>docker-compose.yml:227</w:t>
      </w:r>
      <w:r>
        <w:rPr/>
        <w:t xml:space="preserve">) and </w:t>
      </w:r>
      <w:r>
        <w:rPr>
          <w:rStyle w:val="SourceText"/>
        </w:rPr>
        <w:t>ollama</w:t>
      </w:r>
      <w:r>
        <w:rPr/>
        <w:t xml:space="preserve">. </w:t>
      </w:r>
    </w:p>
    <w:p>
      <w:pPr>
        <w:pStyle w:val="BodyText"/>
        <w:numPr>
          <w:ilvl w:val="0"/>
          <w:numId w:val="4"/>
        </w:numPr>
        <w:tabs>
          <w:tab w:val="clear" w:pos="1134"/>
          <w:tab w:val="left" w:pos="709" w:leader="none"/>
        </w:tabs>
        <w:bidi w:val="0"/>
        <w:spacing w:before="0" w:after="0"/>
        <w:ind w:hanging="283" w:left="709"/>
        <w:jc w:val="left"/>
        <w:rPr/>
      </w:pPr>
      <w:r>
        <w:rPr>
          <w:rStyle w:val="Strong"/>
        </w:rPr>
        <w:t>Offline by default.</w:t>
      </w:r>
      <w:r>
        <w:rPr/>
        <w:t xml:space="preserve"> </w:t>
      </w:r>
      <w:r>
        <w:rPr>
          <w:rStyle w:val="SourceText"/>
        </w:rPr>
        <w:t>HF_HUB_OFFLINE=1</w:t>
      </w:r>
      <w:r>
        <w:rPr/>
        <w:t xml:space="preserve"> and </w:t>
      </w:r>
      <w:r>
        <w:rPr>
          <w:rStyle w:val="SourceText"/>
        </w:rPr>
        <w:t>TRTLLM_SKIP_DOWNLOAD=1</w:t>
      </w:r>
      <w:r>
        <w:rPr/>
        <w:t xml:space="preserve"> are the defaults for </w:t>
      </w:r>
      <w:r>
        <w:rPr>
          <w:rStyle w:val="SourceText"/>
        </w:rPr>
        <w:t>trtllm</w:t>
      </w:r>
      <w:r>
        <w:rPr/>
        <w:t xml:space="preserve"> (</w:t>
      </w:r>
      <w:r>
        <w:rPr>
          <w:rStyle w:val="SourceText"/>
        </w:rPr>
        <w:t>docker-compose.yml:27-28</w:t>
      </w:r>
      <w:r>
        <w:rPr/>
        <w:t xml:space="preserve">); </w:t>
      </w:r>
      <w:r>
        <w:rPr>
          <w:rStyle w:val="SourceText"/>
        </w:rPr>
        <w:t>OLLAMA_OFFLINE=1</w:t>
      </w:r>
      <w:r>
        <w:rPr/>
        <w:t xml:space="preserve"> is set for </w:t>
      </w:r>
      <w:r>
        <w:rPr>
          <w:rStyle w:val="SourceText"/>
        </w:rPr>
        <w:t>ollama</w:t>
      </w:r>
      <w:r>
        <w:rPr/>
        <w:t xml:space="preserve"> (</w:t>
      </w:r>
      <w:r>
        <w:rPr>
          <w:rStyle w:val="SourceText"/>
        </w:rPr>
        <w:t>:245</w:t>
      </w:r>
      <w:r>
        <w:rPr/>
        <w:t xml:space="preserve">). A running instance therefore does not fetch models; the volumes must already hold them. </w:t>
      </w:r>
    </w:p>
    <w:p>
      <w:pPr>
        <w:pStyle w:val="BodyText"/>
        <w:numPr>
          <w:ilvl w:val="0"/>
          <w:numId w:val="4"/>
        </w:numPr>
        <w:tabs>
          <w:tab w:val="clear" w:pos="1134"/>
          <w:tab w:val="left" w:pos="709" w:leader="none"/>
        </w:tabs>
        <w:bidi w:val="0"/>
        <w:spacing w:before="0" w:after="0"/>
        <w:ind w:hanging="283" w:left="709"/>
        <w:jc w:val="left"/>
        <w:rPr/>
      </w:pPr>
      <w:r>
        <w:rPr>
          <w:rStyle w:val="Strong"/>
        </w:rPr>
        <w:t xml:space="preserve">Configuration drift risk in </w:t>
      </w:r>
      <w:r>
        <w:rPr>
          <w:rStyle w:val="SourceText"/>
        </w:rPr>
        <w:t>.env</w:t>
      </w:r>
      <w:r>
        <w:rPr>
          <w:rStyle w:val="Strong"/>
        </w:rPr>
        <w:t>.</w:t>
      </w:r>
      <w:r>
        <w:rPr/>
        <w:t xml:space="preserve"> Because no </w:t>
      </w:r>
      <w:r>
        <w:rPr>
          <w:rStyle w:val="SourceText"/>
        </w:rPr>
        <w:t>.env.example</w:t>
      </w:r>
      <w:r>
        <w:rPr/>
        <w:t xml:space="preserve"> is tracked, the required variable set is discoverable only by reading </w:t>
      </w:r>
      <w:r>
        <w:rPr>
          <w:rStyle w:val="SourceText"/>
        </w:rPr>
        <w:t>docker-compose.yml</w:t>
      </w:r>
      <w:r>
        <w:rPr/>
        <w:t xml:space="preserve">. A missing or misspelled variable fails silently rather than loudly: </w:t>
      </w:r>
      <w:r>
        <w:rPr>
          <w:rStyle w:val="SourceText"/>
        </w:rPr>
        <w:t>docker-compose.yml:143-146</w:t>
      </w:r>
      <w:r>
        <w:rPr/>
        <w:t xml:space="preserve"> carries an inline warning that </w:t>
      </w:r>
      <w:r>
        <w:rPr>
          <w:rStyle w:val="SourceText"/>
        </w:rPr>
        <w:t>VOICE_AUTH_SECRET</w:t>
      </w:r>
      <w:r>
        <w:rPr/>
        <w:t xml:space="preserve"> must be fed from the backend's </w:t>
      </w:r>
      <w:r>
        <w:rPr>
          <w:rStyle w:val="SourceText"/>
        </w:rPr>
        <w:t>AUTH_SECRET</w:t>
      </w:r>
      <w:r>
        <w:rPr/>
        <w:t xml:space="preserve">, placed there after commit </w:t>
      </w:r>
      <w:r>
        <w:rPr>
          <w:rStyle w:val="SourceText"/>
        </w:rPr>
        <w:t>73f0b4f</w:t>
      </w:r>
      <w:r>
        <w:rPr/>
        <w:t xml:space="preserve"> fixed a defect in which the voice WebSocket auth gate loaded an empty secret and was effectively non-functional. </w:t>
      </w:r>
    </w:p>
    <w:p>
      <w:pPr>
        <w:pStyle w:val="BodyText"/>
        <w:numPr>
          <w:ilvl w:val="0"/>
          <w:numId w:val="4"/>
        </w:numPr>
        <w:tabs>
          <w:tab w:val="clear" w:pos="1134"/>
          <w:tab w:val="left" w:pos="709" w:leader="none"/>
        </w:tabs>
        <w:bidi w:val="0"/>
        <w:ind w:hanging="283" w:left="709"/>
        <w:jc w:val="left"/>
        <w:rPr/>
      </w:pPr>
      <w:r>
        <w:rPr>
          <w:rStyle w:val="Strong"/>
        </w:rPr>
        <w:t>Change to deployed configuration</w:t>
      </w:r>
      <w:r>
        <w:rPr/>
        <w:t xml:space="preserve"> is a change to CI-4 or CI-5 and is subject to §6; changing a port, a volume, an auth variable or a model identifier on a customer instance meets S-3, S-4 or S-5 and requires a Change Request. </w:t>
      </w:r>
    </w:p>
    <w:p>
      <w:pPr>
        <w:pStyle w:val="Heading2"/>
        <w:bidi w:val="0"/>
        <w:jc w:val="left"/>
        <w:rPr/>
      </w:pPr>
      <w:r>
        <w:rPr/>
        <w:t>11. Emergency and hotfix changes</w:t>
      </w:r>
    </w:p>
    <w:p>
      <w:pPr>
        <w:pStyle w:val="BodyText"/>
        <w:bidi w:val="0"/>
        <w:jc w:val="left"/>
        <w:rPr/>
      </w:pPr>
      <w:r>
        <w:rPr/>
        <w:t>An emergency change is one required to restore service or to remove an active exposure of customer data.</w:t>
      </w:r>
    </w:p>
    <w:p>
      <w:pPr>
        <w:pStyle w:val="BodyText"/>
        <w:numPr>
          <w:ilvl w:val="0"/>
          <w:numId w:val="5"/>
        </w:numPr>
        <w:tabs>
          <w:tab w:val="clear" w:pos="1134"/>
          <w:tab w:val="left" w:pos="709" w:leader="none"/>
        </w:tabs>
        <w:bidi w:val="0"/>
        <w:spacing w:before="0" w:after="0"/>
        <w:ind w:hanging="283" w:left="709"/>
        <w:jc w:val="left"/>
        <w:rPr/>
      </w:pPr>
      <w:r>
        <w:rPr/>
        <w:t xml:space="preserve">The Engineering Lead authorises it verbally or in writing; the authorisation is recorded afterwards, not skipped. </w:t>
      </w:r>
    </w:p>
    <w:p>
      <w:pPr>
        <w:pStyle w:val="BodyText"/>
        <w:numPr>
          <w:ilvl w:val="0"/>
          <w:numId w:val="5"/>
        </w:numPr>
        <w:tabs>
          <w:tab w:val="clear" w:pos="1134"/>
          <w:tab w:val="left" w:pos="709" w:leader="none"/>
        </w:tabs>
        <w:bidi w:val="0"/>
        <w:spacing w:before="0" w:after="0"/>
        <w:ind w:hanging="283" w:left="709"/>
        <w:jc w:val="left"/>
        <w:rPr/>
      </w:pPr>
      <w:r>
        <w:rPr/>
        <w:t xml:space="preserve">The fix is implemented by the shortest safe route. Hot-patching a container under §8 is acceptable here. </w:t>
      </w:r>
    </w:p>
    <w:p>
      <w:pPr>
        <w:pStyle w:val="BodyText"/>
        <w:numPr>
          <w:ilvl w:val="0"/>
          <w:numId w:val="5"/>
        </w:numPr>
        <w:tabs>
          <w:tab w:val="clear" w:pos="1134"/>
          <w:tab w:val="left" w:pos="709" w:leader="none"/>
        </w:tabs>
        <w:bidi w:val="0"/>
        <w:spacing w:before="0" w:after="0"/>
        <w:ind w:hanging="283" w:left="709"/>
        <w:jc w:val="left"/>
        <w:rPr/>
      </w:pPr>
      <w:r>
        <w:rPr/>
        <w:t xml:space="preserve">Within </w:t>
      </w:r>
      <w:r>
        <w:rPr>
          <w:rStyle w:val="Strong"/>
        </w:rPr>
        <w:t>one working day</w:t>
      </w:r>
      <w:r>
        <w:rPr/>
        <w:t xml:space="preserve">, the change is committed to </w:t>
      </w:r>
      <w:r>
        <w:rPr>
          <w:rStyle w:val="SourceText"/>
        </w:rPr>
        <w:t>main</w:t>
      </w:r>
      <w:r>
        <w:rPr/>
        <w:t xml:space="preserve"> with a body describing the incident, and the affected images are rebuilt from source. This is not optional; §8's evidence applies with more force under time pressure, not less. </w:t>
      </w:r>
    </w:p>
    <w:p>
      <w:pPr>
        <w:pStyle w:val="BodyText"/>
        <w:numPr>
          <w:ilvl w:val="0"/>
          <w:numId w:val="5"/>
        </w:numPr>
        <w:tabs>
          <w:tab w:val="clear" w:pos="1134"/>
          <w:tab w:val="left" w:pos="709" w:leader="none"/>
        </w:tabs>
        <w:bidi w:val="0"/>
        <w:spacing w:before="0" w:after="0"/>
        <w:ind w:hanging="283" w:left="709"/>
        <w:jc w:val="left"/>
        <w:rPr/>
      </w:pPr>
      <w:r>
        <w:rPr/>
        <w:t xml:space="preserve">A Change Request is raised retrospectively where the change meets §6, and the event is recorded as a nonconformity where it resulted from a defect in our own work. </w:t>
      </w:r>
    </w:p>
    <w:p>
      <w:pPr>
        <w:pStyle w:val="BodyText"/>
        <w:numPr>
          <w:ilvl w:val="0"/>
          <w:numId w:val="5"/>
        </w:numPr>
        <w:tabs>
          <w:tab w:val="clear" w:pos="1134"/>
          <w:tab w:val="left" w:pos="709" w:leader="none"/>
        </w:tabs>
        <w:bidi w:val="0"/>
        <w:ind w:hanging="283" w:left="709"/>
        <w:jc w:val="left"/>
        <w:rPr/>
      </w:pPr>
      <w:r>
        <w:rPr/>
        <w:t xml:space="preserve">Where a credential was exposed, the credential is rotated before anything else (SOP-01 §9). </w:t>
      </w:r>
    </w:p>
    <w:p>
      <w:pPr>
        <w:pStyle w:val="Heading2"/>
        <w:bidi w:val="0"/>
        <w:jc w:val="left"/>
        <w:rPr/>
      </w:pPr>
      <w:r>
        <w:rPr/>
        <w:t>12. Records</w:t>
      </w:r>
    </w:p>
    <w:tbl>
      <w:tblPr>
        <w:tblW w:w="11339" w:type="dxa"/>
        <w:jc w:val="left"/>
        <w:tblInd w:w="0" w:type="dxa"/>
        <w:tblLayout w:type="fixed"/>
        <w:tblCellMar>
          <w:top w:w="28" w:type="dxa"/>
          <w:left w:w="28" w:type="dxa"/>
          <w:bottom w:w="28" w:type="dxa"/>
          <w:right w:w="28" w:type="dxa"/>
        </w:tblCellMar>
      </w:tblPr>
      <w:tblGrid>
        <w:gridCol w:w="3686"/>
        <w:gridCol w:w="5061"/>
        <w:gridCol w:w="2592"/>
      </w:tblGrid>
      <w:tr>
        <w:trPr>
          <w:tblHeader w:val="true"/>
        </w:trPr>
        <w:tc>
          <w:tcPr>
            <w:tcW w:w="3686" w:type="dxa"/>
            <w:tcBorders/>
            <w:vAlign w:val="center"/>
          </w:tcPr>
          <w:p>
            <w:pPr>
              <w:pStyle w:val="TableHeading"/>
              <w:suppressLineNumbers/>
              <w:shd w:fill="1F3A5F" w:val="clear"/>
              <w:bidi w:val="0"/>
              <w:spacing w:before="0" w:after="283"/>
              <w:jc w:val="center"/>
              <w:rPr/>
            </w:pPr>
            <w:r>
              <w:rPr/>
              <w:t>Record</w:t>
            </w:r>
          </w:p>
        </w:tc>
        <w:tc>
          <w:tcPr>
            <w:tcW w:w="5061" w:type="dxa"/>
            <w:tcBorders/>
            <w:vAlign w:val="center"/>
          </w:tcPr>
          <w:p>
            <w:pPr>
              <w:pStyle w:val="TableHeading"/>
              <w:suppressLineNumbers/>
              <w:shd w:fill="1F3A5F" w:val="clear"/>
              <w:bidi w:val="0"/>
              <w:spacing w:before="0" w:after="283"/>
              <w:jc w:val="center"/>
              <w:rPr/>
            </w:pPr>
            <w:r>
              <w:rPr/>
              <w:t>Where it lives</w:t>
            </w:r>
          </w:p>
        </w:tc>
        <w:tc>
          <w:tcPr>
            <w:tcW w:w="2592" w:type="dxa"/>
            <w:tcBorders/>
            <w:vAlign w:val="center"/>
          </w:tcPr>
          <w:p>
            <w:pPr>
              <w:pStyle w:val="TableHeading"/>
              <w:suppressLineNumbers/>
              <w:shd w:fill="1F3A5F" w:val="clear"/>
              <w:bidi w:val="0"/>
              <w:spacing w:before="0" w:after="283"/>
              <w:jc w:val="center"/>
              <w:rPr/>
            </w:pPr>
            <w:r>
              <w:rPr/>
              <w:t>Retention</w:t>
            </w:r>
          </w:p>
        </w:tc>
      </w:tr>
      <w:tr>
        <w:trPr/>
        <w:tc>
          <w:tcPr>
            <w:tcW w:w="3686" w:type="dxa"/>
            <w:tcBorders/>
            <w:vAlign w:val="center"/>
          </w:tcPr>
          <w:p>
            <w:pPr>
              <w:pStyle w:val="TableContents"/>
              <w:bidi w:val="0"/>
              <w:spacing w:before="0" w:after="283"/>
              <w:jc w:val="left"/>
              <w:rPr/>
            </w:pPr>
            <w:r>
              <w:rPr/>
              <w:t>Change history for every configuration item under Git control</w:t>
            </w:r>
          </w:p>
        </w:tc>
        <w:tc>
          <w:tcPr>
            <w:tcW w:w="5061" w:type="dxa"/>
            <w:tcBorders/>
            <w:vAlign w:val="center"/>
          </w:tcPr>
          <w:p>
            <w:pPr>
              <w:pStyle w:val="TableContents"/>
              <w:bidi w:val="0"/>
              <w:spacing w:before="0" w:after="283"/>
              <w:jc w:val="left"/>
              <w:rPr/>
            </w:pPr>
            <w:r>
              <w:rPr/>
              <w:t>Git commit history (</w:t>
            </w:r>
            <w:r>
              <w:rPr>
                <w:rStyle w:val="SourceText"/>
              </w:rPr>
              <w:t>git log --follow -- &lt;path&gt;</w:t>
            </w:r>
            <w:r>
              <w:rPr/>
              <w:t>)</w:t>
            </w:r>
          </w:p>
        </w:tc>
        <w:tc>
          <w:tcPr>
            <w:tcW w:w="2592" w:type="dxa"/>
            <w:tcBorders/>
            <w:vAlign w:val="center"/>
          </w:tcPr>
          <w:p>
            <w:pPr>
              <w:pStyle w:val="TableContents"/>
              <w:bidi w:val="0"/>
              <w:spacing w:before="0" w:after="283"/>
              <w:jc w:val="left"/>
              <w:rPr/>
            </w:pPr>
            <w:r>
              <w:rPr/>
              <w:t>Life of the product + 3 years (SOP-01 §8)</w:t>
            </w:r>
          </w:p>
        </w:tc>
      </w:tr>
      <w:tr>
        <w:trPr/>
        <w:tc>
          <w:tcPr>
            <w:tcW w:w="3686" w:type="dxa"/>
            <w:tcBorders/>
            <w:vAlign w:val="center"/>
          </w:tcPr>
          <w:p>
            <w:pPr>
              <w:pStyle w:val="TableContents"/>
              <w:bidi w:val="0"/>
              <w:spacing w:before="0" w:after="283"/>
              <w:jc w:val="left"/>
              <w:rPr/>
            </w:pPr>
            <w:r>
              <w:rPr/>
              <w:t>Rationale and verification for each change</w:t>
            </w:r>
          </w:p>
        </w:tc>
        <w:tc>
          <w:tcPr>
            <w:tcW w:w="5061" w:type="dxa"/>
            <w:tcBorders/>
            <w:vAlign w:val="center"/>
          </w:tcPr>
          <w:p>
            <w:pPr>
              <w:pStyle w:val="TableContents"/>
              <w:bidi w:val="0"/>
              <w:spacing w:before="0" w:after="283"/>
              <w:jc w:val="left"/>
              <w:rPr/>
            </w:pPr>
            <w:r>
              <w:rPr/>
              <w:t>The commit body</w:t>
            </w:r>
          </w:p>
        </w:tc>
        <w:tc>
          <w:tcPr>
            <w:tcW w:w="2592" w:type="dxa"/>
            <w:tcBorders/>
            <w:vAlign w:val="center"/>
          </w:tcPr>
          <w:p>
            <w:pPr>
              <w:pStyle w:val="TableContents"/>
              <w:bidi w:val="0"/>
              <w:spacing w:before="0" w:after="283"/>
              <w:jc w:val="left"/>
              <w:rPr/>
            </w:pPr>
            <w:r>
              <w:rPr/>
              <w:t>As above</w:t>
            </w:r>
          </w:p>
        </w:tc>
      </w:tr>
      <w:tr>
        <w:trPr/>
        <w:tc>
          <w:tcPr>
            <w:tcW w:w="3686" w:type="dxa"/>
            <w:tcBorders/>
            <w:vAlign w:val="center"/>
          </w:tcPr>
          <w:p>
            <w:pPr>
              <w:pStyle w:val="TableContents"/>
              <w:bidi w:val="0"/>
              <w:spacing w:before="0" w:after="283"/>
              <w:jc w:val="left"/>
              <w:rPr/>
            </w:pPr>
            <w:r>
              <w:rPr/>
              <w:t>Change Requests for significant changes</w:t>
            </w:r>
          </w:p>
        </w:tc>
        <w:tc>
          <w:tcPr>
            <w:tcW w:w="5061" w:type="dxa"/>
            <w:tcBorders/>
            <w:vAlign w:val="center"/>
          </w:tcPr>
          <w:p>
            <w:pPr>
              <w:pStyle w:val="TableContents"/>
              <w:bidi w:val="0"/>
              <w:spacing w:before="0" w:after="283"/>
              <w:jc w:val="left"/>
              <w:rPr/>
            </w:pPr>
            <w:r>
              <w:rPr>
                <w:rStyle w:val="SourceText"/>
              </w:rPr>
              <w:t>forms/FRM-02_Change_Request.md</w:t>
            </w:r>
            <w:r>
              <w:rPr/>
              <w:t xml:space="preserve">, completed and committed under </w:t>
            </w:r>
            <w:r>
              <w:rPr>
                <w:rStyle w:val="SourceText"/>
              </w:rPr>
              <w:t>records/</w:t>
            </w:r>
          </w:p>
        </w:tc>
        <w:tc>
          <w:tcPr>
            <w:tcW w:w="2592" w:type="dxa"/>
            <w:tcBorders/>
            <w:vAlign w:val="center"/>
          </w:tcPr>
          <w:p>
            <w:pPr>
              <w:pStyle w:val="TableContents"/>
              <w:bidi w:val="0"/>
              <w:spacing w:before="0" w:after="283"/>
              <w:jc w:val="left"/>
              <w:rPr/>
            </w:pPr>
            <w:r>
              <w:rPr/>
              <w:t>As above</w:t>
            </w:r>
          </w:p>
        </w:tc>
      </w:tr>
      <w:tr>
        <w:trPr/>
        <w:tc>
          <w:tcPr>
            <w:tcW w:w="3686" w:type="dxa"/>
            <w:tcBorders/>
            <w:vAlign w:val="center"/>
          </w:tcPr>
          <w:p>
            <w:pPr>
              <w:pStyle w:val="TableContents"/>
              <w:bidi w:val="0"/>
              <w:spacing w:before="0" w:after="283"/>
              <w:jc w:val="left"/>
              <w:rPr/>
            </w:pPr>
            <w:r>
              <w:rPr/>
              <w:t>Release records</w:t>
            </w:r>
          </w:p>
        </w:tc>
        <w:tc>
          <w:tcPr>
            <w:tcW w:w="5061" w:type="dxa"/>
            <w:tcBorders/>
            <w:vAlign w:val="center"/>
          </w:tcPr>
          <w:p>
            <w:pPr>
              <w:pStyle w:val="TableContents"/>
              <w:bidi w:val="0"/>
              <w:spacing w:before="0" w:after="283"/>
              <w:jc w:val="left"/>
              <w:rPr/>
            </w:pPr>
            <w:r>
              <w:rPr>
                <w:rStyle w:val="SourceText"/>
              </w:rPr>
              <w:t>forms/FRM-03_Release_Record.md</w:t>
            </w:r>
            <w:r>
              <w:rPr/>
              <w:t xml:space="preserve"> (see SOP-08)</w:t>
            </w:r>
          </w:p>
        </w:tc>
        <w:tc>
          <w:tcPr>
            <w:tcW w:w="2592" w:type="dxa"/>
            <w:tcBorders/>
            <w:vAlign w:val="center"/>
          </w:tcPr>
          <w:p>
            <w:pPr>
              <w:pStyle w:val="TableContents"/>
              <w:bidi w:val="0"/>
              <w:spacing w:before="0" w:after="283"/>
              <w:jc w:val="left"/>
              <w:rPr/>
            </w:pPr>
            <w:r>
              <w:rPr/>
              <w:t>Life of the release + 3 years</w:t>
            </w:r>
          </w:p>
        </w:tc>
      </w:tr>
      <w:tr>
        <w:trPr/>
        <w:tc>
          <w:tcPr>
            <w:tcW w:w="3686" w:type="dxa"/>
            <w:tcBorders/>
            <w:vAlign w:val="center"/>
          </w:tcPr>
          <w:p>
            <w:pPr>
              <w:pStyle w:val="TableContents"/>
              <w:bidi w:val="0"/>
              <w:spacing w:before="0" w:after="283"/>
              <w:jc w:val="left"/>
              <w:rPr/>
            </w:pPr>
            <w:r>
              <w:rPr/>
              <w:t>Deployment register (customer instance → release)</w:t>
            </w:r>
          </w:p>
        </w:tc>
        <w:tc>
          <w:tcPr>
            <w:tcW w:w="5061" w:type="dxa"/>
            <w:tcBorders/>
            <w:vAlign w:val="center"/>
          </w:tcPr>
          <w:p>
            <w:pPr>
              <w:pStyle w:val="TableContents"/>
              <w:bidi w:val="0"/>
              <w:spacing w:before="0" w:after="283"/>
              <w:jc w:val="left"/>
              <w:rPr/>
            </w:pPr>
            <w:r>
              <w:rPr>
                <w:rStyle w:val="SourceText"/>
              </w:rPr>
              <w:t>registers/REG-08_Release_and_Deployment_Register.md</w:t>
            </w:r>
          </w:p>
        </w:tc>
        <w:tc>
          <w:tcPr>
            <w:tcW w:w="2592" w:type="dxa"/>
            <w:tcBorders/>
            <w:vAlign w:val="center"/>
          </w:tcPr>
          <w:p>
            <w:pPr>
              <w:pStyle w:val="TableContents"/>
              <w:bidi w:val="0"/>
              <w:spacing w:before="0" w:after="283"/>
              <w:jc w:val="left"/>
              <w:rPr/>
            </w:pPr>
            <w:r>
              <w:rPr/>
              <w:t>Life of the installation + 3 years</w:t>
            </w:r>
          </w:p>
        </w:tc>
      </w:tr>
      <w:tr>
        <w:trPr/>
        <w:tc>
          <w:tcPr>
            <w:tcW w:w="3686" w:type="dxa"/>
            <w:tcBorders/>
            <w:vAlign w:val="center"/>
          </w:tcPr>
          <w:p>
            <w:pPr>
              <w:pStyle w:val="TableContents"/>
              <w:bidi w:val="0"/>
              <w:spacing w:before="0" w:after="283"/>
              <w:jc w:val="left"/>
              <w:rPr/>
            </w:pPr>
            <w:r>
              <w:rPr/>
              <w:t>Emergency change authorisations</w:t>
            </w:r>
          </w:p>
        </w:tc>
        <w:tc>
          <w:tcPr>
            <w:tcW w:w="5061" w:type="dxa"/>
            <w:tcBorders/>
            <w:vAlign w:val="center"/>
          </w:tcPr>
          <w:p>
            <w:pPr>
              <w:pStyle w:val="TableContents"/>
              <w:bidi w:val="0"/>
              <w:spacing w:before="0" w:after="283"/>
              <w:jc w:val="left"/>
              <w:rPr/>
            </w:pPr>
            <w:r>
              <w:rPr/>
              <w:t>The commit body of the emergency fix, plus the retrospective Change Request</w:t>
            </w:r>
          </w:p>
        </w:tc>
        <w:tc>
          <w:tcPr>
            <w:tcW w:w="2592" w:type="dxa"/>
            <w:tcBorders/>
            <w:vAlign w:val="center"/>
          </w:tcPr>
          <w:p>
            <w:pPr>
              <w:pStyle w:val="TableContents"/>
              <w:bidi w:val="0"/>
              <w:spacing w:before="0" w:after="283"/>
              <w:jc w:val="left"/>
              <w:rPr/>
            </w:pPr>
            <w:r>
              <w:rPr/>
              <w:t>3 years</w:t>
            </w:r>
          </w:p>
        </w:tc>
      </w:tr>
    </w:tbl>
    <w:p>
      <w:pPr>
        <w:pStyle w:val="Heading2"/>
        <w:bidi w:val="0"/>
        <w:jc w:val="left"/>
        <w:rPr/>
      </w:pPr>
      <w:r>
        <w:rPr/>
        <w:t>13. Current state and gaps</w:t>
      </w:r>
    </w:p>
    <w:tbl>
      <w:tblPr>
        <w:tblW w:w="11339" w:type="dxa"/>
        <w:jc w:val="left"/>
        <w:tblInd w:w="0" w:type="dxa"/>
        <w:tblLayout w:type="fixed"/>
        <w:tblCellMar>
          <w:top w:w="28" w:type="dxa"/>
          <w:left w:w="28" w:type="dxa"/>
          <w:bottom w:w="28" w:type="dxa"/>
          <w:right w:w="28" w:type="dxa"/>
        </w:tblCellMar>
      </w:tblPr>
      <w:tblGrid>
        <w:gridCol w:w="325"/>
        <w:gridCol w:w="1911"/>
        <w:gridCol w:w="5104"/>
        <w:gridCol w:w="3999"/>
      </w:tblGrid>
      <w:tr>
        <w:trPr>
          <w:tblHeader w:val="true"/>
        </w:trPr>
        <w:tc>
          <w:tcPr>
            <w:tcW w:w="325" w:type="dxa"/>
            <w:tcBorders/>
            <w:vAlign w:val="center"/>
          </w:tcPr>
          <w:p>
            <w:pPr>
              <w:pStyle w:val="TableHeading"/>
              <w:suppressLineNumbers/>
              <w:shd w:fill="1F3A5F" w:val="clear"/>
              <w:bidi w:val="0"/>
              <w:spacing w:before="0" w:after="283"/>
              <w:jc w:val="center"/>
              <w:rPr/>
            </w:pPr>
            <w:r>
              <w:rPr/>
              <w:t>#</w:t>
            </w:r>
          </w:p>
        </w:tc>
        <w:tc>
          <w:tcPr>
            <w:tcW w:w="1911" w:type="dxa"/>
            <w:tcBorders/>
            <w:vAlign w:val="center"/>
          </w:tcPr>
          <w:p>
            <w:pPr>
              <w:pStyle w:val="TableHeading"/>
              <w:suppressLineNumbers/>
              <w:shd w:fill="1F3A5F" w:val="clear"/>
              <w:bidi w:val="0"/>
              <w:spacing w:before="0" w:after="283"/>
              <w:jc w:val="center"/>
              <w:rPr/>
            </w:pPr>
            <w:r>
              <w:rPr/>
              <w:t>Requirement of this procedure</w:t>
            </w:r>
          </w:p>
        </w:tc>
        <w:tc>
          <w:tcPr>
            <w:tcW w:w="5104" w:type="dxa"/>
            <w:tcBorders/>
            <w:vAlign w:val="center"/>
          </w:tcPr>
          <w:p>
            <w:pPr>
              <w:pStyle w:val="TableHeading"/>
              <w:suppressLineNumbers/>
              <w:shd w:fill="1F3A5F" w:val="clear"/>
              <w:bidi w:val="0"/>
              <w:spacing w:before="0" w:after="283"/>
              <w:jc w:val="center"/>
              <w:rPr/>
            </w:pPr>
            <w:r>
              <w:rPr/>
              <w:t>Present state</w:t>
            </w:r>
          </w:p>
        </w:tc>
        <w:tc>
          <w:tcPr>
            <w:tcW w:w="3999" w:type="dxa"/>
            <w:tcBorders/>
            <w:vAlign w:val="center"/>
          </w:tcPr>
          <w:p>
            <w:pPr>
              <w:pStyle w:val="TableHeading"/>
              <w:suppressLineNumbers/>
              <w:shd w:fill="1F3A5F" w:val="clear"/>
              <w:bidi w:val="0"/>
              <w:spacing w:before="0" w:after="283"/>
              <w:jc w:val="center"/>
              <w:rPr/>
            </w:pPr>
            <w:r>
              <w:rPr/>
              <w:t>Gap</w:t>
            </w:r>
          </w:p>
        </w:tc>
      </w:tr>
      <w:tr>
        <w:trPr/>
        <w:tc>
          <w:tcPr>
            <w:tcW w:w="325" w:type="dxa"/>
            <w:tcBorders/>
            <w:vAlign w:val="center"/>
          </w:tcPr>
          <w:p>
            <w:pPr>
              <w:pStyle w:val="TableContents"/>
              <w:bidi w:val="0"/>
              <w:spacing w:before="0" w:after="283"/>
              <w:jc w:val="left"/>
              <w:rPr/>
            </w:pPr>
            <w:r>
              <w:rPr/>
              <w:t>G-1</w:t>
            </w:r>
          </w:p>
        </w:tc>
        <w:tc>
          <w:tcPr>
            <w:tcW w:w="1911" w:type="dxa"/>
            <w:tcBorders/>
            <w:vAlign w:val="center"/>
          </w:tcPr>
          <w:p>
            <w:pPr>
              <w:pStyle w:val="TableContents"/>
              <w:bidi w:val="0"/>
              <w:spacing w:before="0" w:after="283"/>
              <w:jc w:val="left"/>
              <w:rPr/>
            </w:pPr>
            <w:r>
              <w:rPr/>
              <w:t>Source revision traceable to deployed instance</w:t>
            </w:r>
          </w:p>
        </w:tc>
        <w:tc>
          <w:tcPr>
            <w:tcW w:w="5104" w:type="dxa"/>
            <w:tcBorders/>
            <w:vAlign w:val="center"/>
          </w:tcPr>
          <w:p>
            <w:pPr>
              <w:pStyle w:val="TableContents"/>
              <w:bidi w:val="0"/>
              <w:spacing w:before="0" w:after="283"/>
              <w:jc w:val="left"/>
              <w:rPr/>
            </w:pPr>
            <w:r>
              <w:rPr/>
              <w:t xml:space="preserve">No git tags, no changelog, no </w:t>
            </w:r>
            <w:r>
              <w:rPr>
                <w:rStyle w:val="SourceText"/>
              </w:rPr>
              <w:t>__version__</w:t>
            </w:r>
            <w:r>
              <w:rPr/>
              <w:t>, no build identifier endpoint, untagged images</w:t>
            </w:r>
          </w:p>
        </w:tc>
        <w:tc>
          <w:tcPr>
            <w:tcW w:w="3999" w:type="dxa"/>
            <w:tcBorders/>
            <w:vAlign w:val="center"/>
          </w:tcPr>
          <w:p>
            <w:pPr>
              <w:pStyle w:val="TableContents"/>
              <w:bidi w:val="0"/>
              <w:spacing w:before="0" w:after="283"/>
              <w:jc w:val="left"/>
              <w:rPr/>
            </w:pPr>
            <w:r>
              <w:rPr>
                <w:rStyle w:val="Strong"/>
              </w:rPr>
              <w:t>Open.</w:t>
            </w:r>
            <w:r>
              <w:rPr/>
              <w:t xml:space="preserve"> Nothing in the chain exists (§9)</w:t>
            </w:r>
          </w:p>
        </w:tc>
      </w:tr>
      <w:tr>
        <w:trPr/>
        <w:tc>
          <w:tcPr>
            <w:tcW w:w="325" w:type="dxa"/>
            <w:tcBorders/>
            <w:vAlign w:val="center"/>
          </w:tcPr>
          <w:p>
            <w:pPr>
              <w:pStyle w:val="TableContents"/>
              <w:bidi w:val="0"/>
              <w:spacing w:before="0" w:after="283"/>
              <w:jc w:val="left"/>
              <w:rPr/>
            </w:pPr>
            <w:r>
              <w:rPr/>
              <w:t>G-2</w:t>
            </w:r>
          </w:p>
        </w:tc>
        <w:tc>
          <w:tcPr>
            <w:tcW w:w="1911" w:type="dxa"/>
            <w:tcBorders/>
            <w:vAlign w:val="center"/>
          </w:tcPr>
          <w:p>
            <w:pPr>
              <w:pStyle w:val="TableContents"/>
              <w:bidi w:val="0"/>
              <w:spacing w:before="0" w:after="283"/>
              <w:jc w:val="left"/>
              <w:rPr/>
            </w:pPr>
            <w:r>
              <w:rPr/>
              <w:t>Change Request form for significant changes</w:t>
            </w:r>
          </w:p>
        </w:tc>
        <w:tc>
          <w:tcPr>
            <w:tcW w:w="5104" w:type="dxa"/>
            <w:tcBorders/>
            <w:vAlign w:val="center"/>
          </w:tcPr>
          <w:p>
            <w:pPr>
              <w:pStyle w:val="TableContents"/>
              <w:bidi w:val="0"/>
              <w:spacing w:before="0" w:after="283"/>
              <w:jc w:val="left"/>
              <w:rPr/>
            </w:pPr>
            <w:r>
              <w:rPr>
                <w:rStyle w:val="SourceText"/>
              </w:rPr>
              <w:t>forms/FRM-02_Change_Request.md</w:t>
            </w:r>
            <w:r>
              <w:rPr/>
              <w:t xml:space="preserve"> does not exist; only </w:t>
            </w:r>
            <w:r>
              <w:rPr>
                <w:rStyle w:val="SourceText"/>
              </w:rPr>
              <w:t>FRM-00</w:t>
            </w:r>
            <w:r>
              <w:rPr/>
              <w:t xml:space="preserve"> is present in </w:t>
            </w:r>
            <w:r>
              <w:rPr>
                <w:rStyle w:val="SourceText"/>
              </w:rPr>
              <w:t>docs/qms/forms/</w:t>
            </w:r>
          </w:p>
        </w:tc>
        <w:tc>
          <w:tcPr>
            <w:tcW w:w="3999" w:type="dxa"/>
            <w:tcBorders/>
            <w:vAlign w:val="center"/>
          </w:tcPr>
          <w:p>
            <w:pPr>
              <w:pStyle w:val="TableContents"/>
              <w:bidi w:val="0"/>
              <w:spacing w:before="0" w:after="283"/>
              <w:jc w:val="left"/>
              <w:rPr/>
            </w:pPr>
            <w:r>
              <w:rPr>
                <w:rStyle w:val="Strong"/>
              </w:rPr>
              <w:t>Open.</w:t>
            </w:r>
            <w:r>
              <w:rPr/>
              <w:t xml:space="preserve"> Form to be created</w:t>
            </w:r>
          </w:p>
        </w:tc>
      </w:tr>
      <w:tr>
        <w:trPr/>
        <w:tc>
          <w:tcPr>
            <w:tcW w:w="325" w:type="dxa"/>
            <w:tcBorders/>
            <w:vAlign w:val="center"/>
          </w:tcPr>
          <w:p>
            <w:pPr>
              <w:pStyle w:val="TableContents"/>
              <w:bidi w:val="0"/>
              <w:spacing w:before="0" w:after="283"/>
              <w:jc w:val="left"/>
              <w:rPr/>
            </w:pPr>
            <w:r>
              <w:rPr/>
              <w:t>G-3</w:t>
            </w:r>
          </w:p>
        </w:tc>
        <w:tc>
          <w:tcPr>
            <w:tcW w:w="1911" w:type="dxa"/>
            <w:tcBorders/>
            <w:vAlign w:val="center"/>
          </w:tcPr>
          <w:p>
            <w:pPr>
              <w:pStyle w:val="TableContents"/>
              <w:bidi w:val="0"/>
              <w:spacing w:before="0" w:after="283"/>
              <w:jc w:val="left"/>
              <w:rPr/>
            </w:pPr>
            <w:r>
              <w:rPr/>
              <w:t>Deployment register</w:t>
            </w:r>
          </w:p>
        </w:tc>
        <w:tc>
          <w:tcPr>
            <w:tcW w:w="5104" w:type="dxa"/>
            <w:tcBorders/>
            <w:vAlign w:val="center"/>
          </w:tcPr>
          <w:p>
            <w:pPr>
              <w:pStyle w:val="TableContents"/>
              <w:bidi w:val="0"/>
              <w:spacing w:before="0" w:after="283"/>
              <w:jc w:val="left"/>
              <w:rPr/>
            </w:pPr>
            <w:r>
              <w:rPr>
                <w:rStyle w:val="SourceText"/>
              </w:rPr>
              <w:t>docs/qms/registers/</w:t>
            </w:r>
            <w:r>
              <w:rPr/>
              <w:t xml:space="preserve"> is empty</w:t>
            </w:r>
          </w:p>
        </w:tc>
        <w:tc>
          <w:tcPr>
            <w:tcW w:w="3999" w:type="dxa"/>
            <w:tcBorders/>
            <w:vAlign w:val="center"/>
          </w:tcPr>
          <w:p>
            <w:pPr>
              <w:pStyle w:val="TableContents"/>
              <w:bidi w:val="0"/>
              <w:spacing w:before="0" w:after="283"/>
              <w:jc w:val="left"/>
              <w:rPr/>
            </w:pPr>
            <w:r>
              <w:rPr>
                <w:rStyle w:val="Strong"/>
              </w:rPr>
              <w:t>Open.</w:t>
            </w:r>
            <w:r>
              <w:rPr/>
              <w:t xml:space="preserve"> No record of which customers run which build</w:t>
            </w:r>
          </w:p>
        </w:tc>
      </w:tr>
      <w:tr>
        <w:trPr/>
        <w:tc>
          <w:tcPr>
            <w:tcW w:w="325" w:type="dxa"/>
            <w:tcBorders/>
            <w:vAlign w:val="center"/>
          </w:tcPr>
          <w:p>
            <w:pPr>
              <w:pStyle w:val="TableContents"/>
              <w:bidi w:val="0"/>
              <w:spacing w:before="0" w:after="283"/>
              <w:jc w:val="left"/>
              <w:rPr/>
            </w:pPr>
            <w:r>
              <w:rPr/>
              <w:t>G-4</w:t>
            </w:r>
          </w:p>
        </w:tc>
        <w:tc>
          <w:tcPr>
            <w:tcW w:w="1911" w:type="dxa"/>
            <w:tcBorders/>
            <w:vAlign w:val="center"/>
          </w:tcPr>
          <w:p>
            <w:pPr>
              <w:pStyle w:val="TableContents"/>
              <w:bidi w:val="0"/>
              <w:spacing w:before="0" w:after="283"/>
              <w:jc w:val="left"/>
              <w:rPr/>
            </w:pPr>
            <w:r>
              <w:rPr/>
              <w:t>Independent review of changes</w:t>
            </w:r>
          </w:p>
        </w:tc>
        <w:tc>
          <w:tcPr>
            <w:tcW w:w="5104" w:type="dxa"/>
            <w:tcBorders/>
            <w:vAlign w:val="center"/>
          </w:tcPr>
          <w:p>
            <w:pPr>
              <w:pStyle w:val="TableContents"/>
              <w:bidi w:val="0"/>
              <w:spacing w:before="0" w:after="283"/>
              <w:jc w:val="left"/>
              <w:rPr/>
            </w:pPr>
            <w:r>
              <w:rPr/>
              <w:t>Single-developer, direct-to-main working; two merge commits in 202</w:t>
            </w:r>
          </w:p>
        </w:tc>
        <w:tc>
          <w:tcPr>
            <w:tcW w:w="3999" w:type="dxa"/>
            <w:tcBorders/>
            <w:vAlign w:val="center"/>
          </w:tcPr>
          <w:p>
            <w:pPr>
              <w:pStyle w:val="TableContents"/>
              <w:bidi w:val="0"/>
              <w:spacing w:before="0" w:after="283"/>
              <w:jc w:val="left"/>
              <w:rPr/>
            </w:pPr>
            <w:r>
              <w:rPr>
                <w:rStyle w:val="Strong"/>
              </w:rPr>
              <w:t>Open and partly accepted.</w:t>
            </w:r>
            <w:r>
              <w:rPr/>
              <w:t xml:space="preserve"> A second reviewer is not available at current team size; compensating control is the commit-body verification record (§5)</w:t>
            </w:r>
          </w:p>
        </w:tc>
      </w:tr>
      <w:tr>
        <w:trPr/>
        <w:tc>
          <w:tcPr>
            <w:tcW w:w="325" w:type="dxa"/>
            <w:tcBorders/>
            <w:vAlign w:val="center"/>
          </w:tcPr>
          <w:p>
            <w:pPr>
              <w:pStyle w:val="TableContents"/>
              <w:bidi w:val="0"/>
              <w:spacing w:before="0" w:after="283"/>
              <w:jc w:val="left"/>
              <w:rPr/>
            </w:pPr>
            <w:r>
              <w:rPr/>
              <w:t>G-5</w:t>
            </w:r>
          </w:p>
        </w:tc>
        <w:tc>
          <w:tcPr>
            <w:tcW w:w="1911" w:type="dxa"/>
            <w:tcBorders/>
            <w:vAlign w:val="center"/>
          </w:tcPr>
          <w:p>
            <w:pPr>
              <w:pStyle w:val="TableContents"/>
              <w:bidi w:val="0"/>
              <w:spacing w:before="0" w:after="283"/>
              <w:jc w:val="left"/>
              <w:rPr/>
            </w:pPr>
            <w:r>
              <w:rPr/>
              <w:t>Hot-patch reconciliation</w:t>
            </w:r>
          </w:p>
        </w:tc>
        <w:tc>
          <w:tcPr>
            <w:tcW w:w="5104" w:type="dxa"/>
            <w:tcBorders/>
            <w:vAlign w:val="center"/>
          </w:tcPr>
          <w:p>
            <w:pPr>
              <w:pStyle w:val="TableContents"/>
              <w:bidi w:val="0"/>
              <w:spacing w:before="0" w:after="283"/>
              <w:jc w:val="left"/>
              <w:rPr/>
            </w:pPr>
            <w:r>
              <w:rPr/>
              <w:t xml:space="preserve">The rule in §8 is stated here for the first time; it has not previously been a written control, and </w:t>
            </w:r>
            <w:r>
              <w:rPr>
                <w:rStyle w:val="SourceText"/>
              </w:rPr>
              <w:t>724fb98</w:t>
            </w:r>
            <w:r>
              <w:rPr/>
              <w:t xml:space="preserve"> shows drift did occur</w:t>
            </w:r>
          </w:p>
        </w:tc>
        <w:tc>
          <w:tcPr>
            <w:tcW w:w="3999" w:type="dxa"/>
            <w:tcBorders/>
            <w:vAlign w:val="center"/>
          </w:tcPr>
          <w:p>
            <w:pPr>
              <w:pStyle w:val="TableContents"/>
              <w:bidi w:val="0"/>
              <w:spacing w:before="0" w:after="283"/>
              <w:jc w:val="left"/>
              <w:rPr/>
            </w:pPr>
            <w:r>
              <w:rPr>
                <w:rStyle w:val="Strong"/>
              </w:rPr>
              <w:t>Open.</w:t>
            </w:r>
            <w:r>
              <w:rPr/>
              <w:t xml:space="preserve"> Compliance from the date this procedure is approved</w:t>
            </w:r>
          </w:p>
        </w:tc>
      </w:tr>
      <w:tr>
        <w:trPr/>
        <w:tc>
          <w:tcPr>
            <w:tcW w:w="325" w:type="dxa"/>
            <w:tcBorders/>
            <w:vAlign w:val="center"/>
          </w:tcPr>
          <w:p>
            <w:pPr>
              <w:pStyle w:val="TableContents"/>
              <w:bidi w:val="0"/>
              <w:spacing w:before="0" w:after="283"/>
              <w:jc w:val="left"/>
              <w:rPr/>
            </w:pPr>
            <w:r>
              <w:rPr/>
              <w:t>G-6</w:t>
            </w:r>
          </w:p>
        </w:tc>
        <w:tc>
          <w:tcPr>
            <w:tcW w:w="1911" w:type="dxa"/>
            <w:tcBorders/>
            <w:vAlign w:val="center"/>
          </w:tcPr>
          <w:p>
            <w:pPr>
              <w:pStyle w:val="TableContents"/>
              <w:bidi w:val="0"/>
              <w:spacing w:before="0" w:after="283"/>
              <w:jc w:val="left"/>
              <w:rPr/>
            </w:pPr>
            <w:r>
              <w:rPr>
                <w:rStyle w:val="SourceText"/>
              </w:rPr>
              <w:t>.env</w:t>
            </w:r>
            <w:r>
              <w:rPr/>
              <w:t xml:space="preserve"> template and secret handling</w:t>
            </w:r>
          </w:p>
        </w:tc>
        <w:tc>
          <w:tcPr>
            <w:tcW w:w="5104" w:type="dxa"/>
            <w:tcBorders/>
            <w:vAlign w:val="center"/>
          </w:tcPr>
          <w:p>
            <w:pPr>
              <w:pStyle w:val="TableContents"/>
              <w:bidi w:val="0"/>
              <w:spacing w:before="0" w:after="283"/>
              <w:jc w:val="left"/>
              <w:rPr/>
            </w:pPr>
            <w:r>
              <w:rPr/>
              <w:t xml:space="preserve">No </w:t>
            </w:r>
            <w:r>
              <w:rPr>
                <w:rStyle w:val="SourceText"/>
              </w:rPr>
              <w:t>.env.example</w:t>
            </w:r>
            <w:r>
              <w:rPr/>
              <w:t xml:space="preserve">; </w:t>
            </w:r>
            <w:r>
              <w:rPr>
                <w:rStyle w:val="SourceText"/>
              </w:rPr>
              <w:t>HF_TOKEN</w:t>
            </w:r>
            <w:r>
              <w:rPr/>
              <w:t xml:space="preserve"> baked into build layers via build args (</w:t>
            </w:r>
            <w:r>
              <w:rPr>
                <w:rStyle w:val="SourceText"/>
              </w:rPr>
              <w:t>docker-compose.yml:53</w:t>
            </w:r>
            <w:r>
              <w:rPr/>
              <w:t xml:space="preserve">, </w:t>
            </w:r>
            <w:r>
              <w:rPr>
                <w:rStyle w:val="SourceText"/>
              </w:rPr>
              <w:t>:120</w:t>
            </w:r>
            <w:r>
              <w:rPr/>
              <w:t>); no secret manager, no Docker secrets, no encryption at rest</w:t>
            </w:r>
          </w:p>
        </w:tc>
        <w:tc>
          <w:tcPr>
            <w:tcW w:w="3999" w:type="dxa"/>
            <w:tcBorders/>
            <w:vAlign w:val="center"/>
          </w:tcPr>
          <w:p>
            <w:pPr>
              <w:pStyle w:val="TableContents"/>
              <w:bidi w:val="0"/>
              <w:spacing w:before="0" w:after="283"/>
              <w:jc w:val="left"/>
              <w:rPr/>
            </w:pPr>
            <w:r>
              <w:rPr>
                <w:rStyle w:val="Strong"/>
              </w:rPr>
              <w:t>Open</w:t>
            </w:r>
          </w:p>
        </w:tc>
      </w:tr>
      <w:tr>
        <w:trPr/>
        <w:tc>
          <w:tcPr>
            <w:tcW w:w="325" w:type="dxa"/>
            <w:tcBorders/>
            <w:vAlign w:val="center"/>
          </w:tcPr>
          <w:p>
            <w:pPr>
              <w:pStyle w:val="TableContents"/>
              <w:bidi w:val="0"/>
              <w:spacing w:before="0" w:after="283"/>
              <w:jc w:val="left"/>
              <w:rPr/>
            </w:pPr>
            <w:r>
              <w:rPr/>
              <w:t>G-7</w:t>
            </w:r>
          </w:p>
        </w:tc>
        <w:tc>
          <w:tcPr>
            <w:tcW w:w="1911" w:type="dxa"/>
            <w:tcBorders/>
            <w:vAlign w:val="center"/>
          </w:tcPr>
          <w:p>
            <w:pPr>
              <w:pStyle w:val="TableContents"/>
              <w:bidi w:val="0"/>
              <w:spacing w:before="0" w:after="283"/>
              <w:jc w:val="left"/>
              <w:rPr/>
            </w:pPr>
            <w:r>
              <w:rPr/>
              <w:t>Inventory of model-volume contents</w:t>
            </w:r>
          </w:p>
        </w:tc>
        <w:tc>
          <w:tcPr>
            <w:tcW w:w="5104" w:type="dxa"/>
            <w:tcBorders/>
            <w:vAlign w:val="center"/>
          </w:tcPr>
          <w:p>
            <w:pPr>
              <w:pStyle w:val="TableContents"/>
              <w:bidi w:val="0"/>
              <w:spacing w:before="0" w:after="283"/>
              <w:jc w:val="left"/>
              <w:rPr/>
            </w:pPr>
            <w:r>
              <w:rPr/>
              <w:t xml:space="preserve">No record of which model versions a given </w:t>
            </w:r>
            <w:r>
              <w:rPr>
                <w:rStyle w:val="SourceText"/>
              </w:rPr>
              <w:t>trtllm_hf_cache</w:t>
            </w:r>
            <w:r>
              <w:rPr/>
              <w:t xml:space="preserve"> or </w:t>
            </w:r>
            <w:r>
              <w:rPr>
                <w:rStyle w:val="SourceText"/>
              </w:rPr>
              <w:t>ollama_data</w:t>
            </w:r>
            <w:r>
              <w:rPr/>
              <w:t xml:space="preserve"> volume holds</w:t>
            </w:r>
          </w:p>
        </w:tc>
        <w:tc>
          <w:tcPr>
            <w:tcW w:w="3999" w:type="dxa"/>
            <w:tcBorders/>
            <w:vAlign w:val="center"/>
          </w:tcPr>
          <w:p>
            <w:pPr>
              <w:pStyle w:val="TableContents"/>
              <w:bidi w:val="0"/>
              <w:spacing w:before="0" w:after="283"/>
              <w:jc w:val="left"/>
              <w:rPr/>
            </w:pPr>
            <w:r>
              <w:rPr>
                <w:rStyle w:val="Strong"/>
              </w:rPr>
              <w:t>Open.</w:t>
            </w:r>
            <w:r>
              <w:rPr/>
              <w:t xml:space="preserve"> A volume populated at two different dates may contain different weights with no way to tell</w:t>
            </w:r>
          </w:p>
        </w:tc>
      </w:tr>
      <w:tr>
        <w:trPr/>
        <w:tc>
          <w:tcPr>
            <w:tcW w:w="325" w:type="dxa"/>
            <w:tcBorders/>
            <w:vAlign w:val="center"/>
          </w:tcPr>
          <w:p>
            <w:pPr>
              <w:pStyle w:val="TableContents"/>
              <w:bidi w:val="0"/>
              <w:spacing w:before="0" w:after="283"/>
              <w:jc w:val="left"/>
              <w:rPr/>
            </w:pPr>
            <w:r>
              <w:rPr/>
              <w:t>G-8</w:t>
            </w:r>
          </w:p>
        </w:tc>
        <w:tc>
          <w:tcPr>
            <w:tcW w:w="1911" w:type="dxa"/>
            <w:tcBorders/>
            <w:vAlign w:val="center"/>
          </w:tcPr>
          <w:p>
            <w:pPr>
              <w:pStyle w:val="TableContents"/>
              <w:bidi w:val="0"/>
              <w:spacing w:before="0" w:after="283"/>
              <w:jc w:val="left"/>
              <w:rPr/>
            </w:pPr>
            <w:r>
              <w:rPr/>
              <w:t>Commit message consistency</w:t>
            </w:r>
          </w:p>
        </w:tc>
        <w:tc>
          <w:tcPr>
            <w:tcW w:w="5104" w:type="dxa"/>
            <w:tcBorders/>
            <w:vAlign w:val="center"/>
          </w:tcPr>
          <w:p>
            <w:pPr>
              <w:pStyle w:val="TableContents"/>
              <w:bidi w:val="0"/>
              <w:spacing w:before="0" w:after="283"/>
              <w:jc w:val="left"/>
              <w:rPr/>
            </w:pPr>
            <w:r>
              <w:rPr/>
              <w:t>78 of 202 commits carry a conventional prefix</w:t>
            </w:r>
          </w:p>
        </w:tc>
        <w:tc>
          <w:tcPr>
            <w:tcW w:w="3999" w:type="dxa"/>
            <w:tcBorders/>
            <w:vAlign w:val="center"/>
          </w:tcPr>
          <w:p>
            <w:pPr>
              <w:pStyle w:val="TableContents"/>
              <w:bidi w:val="0"/>
              <w:spacing w:before="0" w:after="283"/>
              <w:jc w:val="left"/>
              <w:rPr/>
            </w:pPr>
            <w:r>
              <w:rPr>
                <w:rStyle w:val="Strong"/>
              </w:rPr>
              <w:t>Improving.</w:t>
            </w:r>
            <w:r>
              <w:rPr/>
              <w:t xml:space="preserve"> 38 of the last 40 conform; no further action beyond continued practice</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