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SOP-10 — Nonconforming Output and Incident Management</w:t>
      </w:r>
    </w:p>
    <w:tbl>
      <w:tblPr>
        <w:tblW w:w="4637" w:type="dxa"/>
        <w:jc w:val="left"/>
        <w:tblInd w:w="0" w:type="dxa"/>
        <w:tblLayout w:type="fixed"/>
        <w:tblCellMar>
          <w:top w:w="28" w:type="dxa"/>
          <w:left w:w="28" w:type="dxa"/>
          <w:bottom w:w="28" w:type="dxa"/>
          <w:right w:w="28" w:type="dxa"/>
        </w:tblCellMar>
      </w:tblPr>
      <w:tblGrid>
        <w:gridCol w:w="1951"/>
        <w:gridCol w:w="2686"/>
      </w:tblGrid>
      <w:tr>
        <w:trPr>
          <w:tblHeader w:val="true"/>
        </w:trPr>
        <w:tc>
          <w:tcPr>
            <w:tcW w:w="1951" w:type="dxa"/>
            <w:tcBorders/>
            <w:vAlign w:val="center"/>
          </w:tcPr>
          <w:p>
            <w:pPr>
              <w:pStyle w:val="TableHeading"/>
              <w:suppressLineNumbers/>
              <w:shd w:fill="1F3A5F" w:val="clear"/>
              <w:bidi w:val="0"/>
              <w:spacing w:before="0" w:after="283"/>
              <w:jc w:val="center"/>
              <w:rPr/>
            </w:pPr>
            <w:r>
              <w:rPr/>
              <w:t>Field</w:t>
            </w:r>
          </w:p>
        </w:tc>
        <w:tc>
          <w:tcPr>
            <w:tcW w:w="2686" w:type="dxa"/>
            <w:tcBorders/>
            <w:vAlign w:val="center"/>
          </w:tcPr>
          <w:p>
            <w:pPr>
              <w:pStyle w:val="TableHeading"/>
              <w:suppressLineNumbers/>
              <w:shd w:fill="1F3A5F" w:val="clear"/>
              <w:bidi w:val="0"/>
              <w:spacing w:before="0" w:after="283"/>
              <w:jc w:val="center"/>
              <w:rPr/>
            </w:pPr>
            <w:r>
              <w:rPr/>
              <w:t>Value</w:t>
            </w:r>
          </w:p>
        </w:tc>
      </w:tr>
      <w:tr>
        <w:trPr/>
        <w:tc>
          <w:tcPr>
            <w:tcW w:w="1951" w:type="dxa"/>
            <w:tcBorders/>
            <w:vAlign w:val="center"/>
          </w:tcPr>
          <w:p>
            <w:pPr>
              <w:pStyle w:val="TableContents"/>
              <w:bidi w:val="0"/>
              <w:spacing w:before="0" w:after="283"/>
              <w:jc w:val="left"/>
              <w:rPr/>
            </w:pPr>
            <w:r>
              <w:rPr/>
              <w:t>Document ID</w:t>
            </w:r>
          </w:p>
        </w:tc>
        <w:tc>
          <w:tcPr>
            <w:tcW w:w="2686" w:type="dxa"/>
            <w:tcBorders/>
            <w:vAlign w:val="center"/>
          </w:tcPr>
          <w:p>
            <w:pPr>
              <w:pStyle w:val="TableContents"/>
              <w:bidi w:val="0"/>
              <w:spacing w:before="0" w:after="283"/>
              <w:jc w:val="left"/>
              <w:rPr/>
            </w:pPr>
            <w:r>
              <w:rPr/>
              <w:t>SOP-10</w:t>
            </w:r>
          </w:p>
        </w:tc>
      </w:tr>
      <w:tr>
        <w:trPr/>
        <w:tc>
          <w:tcPr>
            <w:tcW w:w="1951" w:type="dxa"/>
            <w:tcBorders/>
            <w:vAlign w:val="center"/>
          </w:tcPr>
          <w:p>
            <w:pPr>
              <w:pStyle w:val="TableContents"/>
              <w:bidi w:val="0"/>
              <w:spacing w:before="0" w:after="283"/>
              <w:jc w:val="left"/>
              <w:rPr/>
            </w:pPr>
            <w:r>
              <w:rPr/>
              <w:t>Revision</w:t>
            </w:r>
          </w:p>
        </w:tc>
        <w:tc>
          <w:tcPr>
            <w:tcW w:w="2686" w:type="dxa"/>
            <w:tcBorders/>
            <w:vAlign w:val="center"/>
          </w:tcPr>
          <w:p>
            <w:pPr>
              <w:pStyle w:val="TableContents"/>
              <w:bidi w:val="0"/>
              <w:spacing w:before="0" w:after="283"/>
              <w:jc w:val="left"/>
              <w:rPr/>
            </w:pPr>
            <w:r>
              <w:rPr/>
              <w:t>1.0</w:t>
            </w:r>
          </w:p>
        </w:tc>
      </w:tr>
      <w:tr>
        <w:trPr/>
        <w:tc>
          <w:tcPr>
            <w:tcW w:w="1951" w:type="dxa"/>
            <w:tcBorders/>
            <w:vAlign w:val="center"/>
          </w:tcPr>
          <w:p>
            <w:pPr>
              <w:pStyle w:val="TableContents"/>
              <w:bidi w:val="0"/>
              <w:spacing w:before="0" w:after="283"/>
              <w:jc w:val="left"/>
              <w:rPr/>
            </w:pPr>
            <w:r>
              <w:rPr/>
              <w:t>Status</w:t>
            </w:r>
          </w:p>
        </w:tc>
        <w:tc>
          <w:tcPr>
            <w:tcW w:w="2686" w:type="dxa"/>
            <w:tcBorders/>
            <w:vAlign w:val="center"/>
          </w:tcPr>
          <w:p>
            <w:pPr>
              <w:pStyle w:val="TableContents"/>
              <w:bidi w:val="0"/>
              <w:spacing w:before="0" w:after="283"/>
              <w:jc w:val="left"/>
              <w:rPr/>
            </w:pPr>
            <w:r>
              <w:rPr>
                <w:rStyle w:val="Strong"/>
              </w:rPr>
              <w:t>DRAFT — not yet approved</w:t>
            </w:r>
          </w:p>
        </w:tc>
      </w:tr>
      <w:tr>
        <w:trPr/>
        <w:tc>
          <w:tcPr>
            <w:tcW w:w="1951" w:type="dxa"/>
            <w:tcBorders/>
            <w:vAlign w:val="center"/>
          </w:tcPr>
          <w:p>
            <w:pPr>
              <w:pStyle w:val="TableContents"/>
              <w:bidi w:val="0"/>
              <w:spacing w:before="0" w:after="283"/>
              <w:jc w:val="left"/>
              <w:rPr/>
            </w:pPr>
            <w:r>
              <w:rPr/>
              <w:t>Owner</w:t>
            </w:r>
          </w:p>
        </w:tc>
        <w:tc>
          <w:tcPr>
            <w:tcW w:w="2686" w:type="dxa"/>
            <w:tcBorders/>
            <w:vAlign w:val="center"/>
          </w:tcPr>
          <w:p>
            <w:pPr>
              <w:pStyle w:val="TableContents"/>
              <w:bidi w:val="0"/>
              <w:spacing w:before="0" w:after="283"/>
              <w:jc w:val="left"/>
              <w:rPr/>
            </w:pPr>
            <w:r>
              <w:rPr/>
              <w:t>Lead Engineer</w:t>
            </w:r>
          </w:p>
        </w:tc>
      </w:tr>
      <w:tr>
        <w:trPr/>
        <w:tc>
          <w:tcPr>
            <w:tcW w:w="1951" w:type="dxa"/>
            <w:tcBorders/>
            <w:vAlign w:val="center"/>
          </w:tcPr>
          <w:p>
            <w:pPr>
              <w:pStyle w:val="TableContents"/>
              <w:bidi w:val="0"/>
              <w:spacing w:before="0" w:after="283"/>
              <w:jc w:val="left"/>
              <w:rPr/>
            </w:pPr>
            <w:r>
              <w:rPr/>
              <w:t>Approved by</w:t>
            </w:r>
          </w:p>
        </w:tc>
        <w:tc>
          <w:tcPr>
            <w:tcW w:w="2686" w:type="dxa"/>
            <w:tcBorders/>
            <w:vAlign w:val="center"/>
          </w:tcPr>
          <w:p>
            <w:pPr>
              <w:pStyle w:val="TableContents"/>
              <w:bidi w:val="0"/>
              <w:spacing w:before="0" w:after="283"/>
              <w:jc w:val="left"/>
              <w:rPr/>
            </w:pPr>
            <w:r>
              <w:rPr>
                <w:rStyle w:val="SourceText"/>
              </w:rPr>
              <w:t>________________________</w:t>
            </w:r>
          </w:p>
        </w:tc>
      </w:tr>
      <w:tr>
        <w:trPr/>
        <w:tc>
          <w:tcPr>
            <w:tcW w:w="1951" w:type="dxa"/>
            <w:tcBorders/>
            <w:vAlign w:val="center"/>
          </w:tcPr>
          <w:p>
            <w:pPr>
              <w:pStyle w:val="TableContents"/>
              <w:bidi w:val="0"/>
              <w:spacing w:before="0" w:after="283"/>
              <w:jc w:val="left"/>
              <w:rPr/>
            </w:pPr>
            <w:r>
              <w:rPr/>
              <w:t>Approval date</w:t>
            </w:r>
          </w:p>
        </w:tc>
        <w:tc>
          <w:tcPr>
            <w:tcW w:w="2686" w:type="dxa"/>
            <w:tcBorders/>
            <w:vAlign w:val="center"/>
          </w:tcPr>
          <w:p>
            <w:pPr>
              <w:pStyle w:val="TableContents"/>
              <w:bidi w:val="0"/>
              <w:spacing w:before="0" w:after="283"/>
              <w:jc w:val="left"/>
              <w:rPr/>
            </w:pPr>
            <w:r>
              <w:rPr>
                <w:rStyle w:val="SourceText"/>
              </w:rPr>
              <w:t>____ / ____ / ________</w:t>
            </w:r>
          </w:p>
        </w:tc>
      </w:tr>
      <w:tr>
        <w:trPr/>
        <w:tc>
          <w:tcPr>
            <w:tcW w:w="1951" w:type="dxa"/>
            <w:tcBorders/>
            <w:vAlign w:val="center"/>
          </w:tcPr>
          <w:p>
            <w:pPr>
              <w:pStyle w:val="TableContents"/>
              <w:bidi w:val="0"/>
              <w:spacing w:before="0" w:after="283"/>
              <w:jc w:val="left"/>
              <w:rPr/>
            </w:pPr>
            <w:r>
              <w:rPr/>
              <w:t>ISO 9001:2015 clauses</w:t>
            </w:r>
          </w:p>
        </w:tc>
        <w:tc>
          <w:tcPr>
            <w:tcW w:w="2686" w:type="dxa"/>
            <w:tcBorders/>
            <w:vAlign w:val="center"/>
          </w:tcPr>
          <w:p>
            <w:pPr>
              <w:pStyle w:val="TableContents"/>
              <w:bidi w:val="0"/>
              <w:spacing w:before="0" w:after="283"/>
              <w:jc w:val="left"/>
              <w:rPr/>
            </w:pPr>
            <w:r>
              <w:rPr/>
              <w:t>8.7.1, 8.7.2, 10.2 (interface only)</w:t>
            </w:r>
          </w:p>
        </w:tc>
      </w:tr>
    </w:tbl>
    <w:p>
      <w:pPr>
        <w:pStyle w:val="HorizontalLine"/>
        <w:bidi w:val="0"/>
        <w:jc w:val="left"/>
        <w:rPr/>
      </w:pPr>
      <w:r>
        <w:rPr/>
      </w:r>
    </w:p>
    <w:p>
      <w:pPr>
        <w:pStyle w:val="Heading2"/>
        <w:bidi w:val="0"/>
        <w:jc w:val="left"/>
        <w:rPr/>
      </w:pPr>
      <w:r>
        <w:rPr/>
        <w:t>1. Purpose</w:t>
      </w:r>
    </w:p>
    <w:p>
      <w:pPr>
        <w:pStyle w:val="BodyText"/>
        <w:bidi w:val="0"/>
        <w:jc w:val="left"/>
        <w:rPr/>
      </w:pPr>
      <w:r>
        <w:rPr/>
        <w:t>To define how Ajace AI identifies, contains, records and dispositions nonconforming output of the EchoMind Enterprise platform, so that nonconforming output is not delivered or used unintentionally, and so that the decision taken about it is recoverable afterwards by someone who was not there.</w:t>
      </w:r>
    </w:p>
    <w:p>
      <w:pPr>
        <w:pStyle w:val="Heading2"/>
        <w:bidi w:val="0"/>
        <w:jc w:val="left"/>
        <w:rPr/>
      </w:pPr>
      <w:r>
        <w:rPr/>
        <w:t>2. Scope</w:t>
      </w:r>
    </w:p>
    <w:p>
      <w:pPr>
        <w:pStyle w:val="BodyText"/>
        <w:bidi w:val="0"/>
        <w:jc w:val="left"/>
        <w:rPr/>
      </w:pPr>
      <w:r>
        <w:rPr/>
        <w:t>All output of the platform and of the organisation's delivery process: answers returned to a user, transcripts, meeting reports, generated documents, voice replies, and the released software itself (images, configuration, documentation). It covers defects found before release and defects found in a running deployment.</w:t>
      </w:r>
    </w:p>
    <w:p>
      <w:pPr>
        <w:pStyle w:val="BodyText"/>
        <w:bidi w:val="0"/>
        <w:jc w:val="left"/>
        <w:rPr/>
      </w:pPr>
      <w:r>
        <w:rPr/>
        <w:t xml:space="preserve">It does </w:t>
      </w:r>
      <w:r>
        <w:rPr>
          <w:rStyle w:val="Strong"/>
        </w:rPr>
        <w:t>not</w:t>
      </w:r>
      <w:r>
        <w:rPr/>
        <w:t xml:space="preserve"> contain the corrective-action process. Determining root cause, deciding whether the nonconformity could recur elsewhere, and verifying that a corrective action worked are done under </w:t>
      </w:r>
      <w:r>
        <w:rPr>
          <w:rStyle w:val="SourceText"/>
        </w:rPr>
        <w:t>SOP-14</w:t>
      </w:r>
      <w:r>
        <w:rPr/>
        <w:t>. This procedure defines the point at which a nonconformity becomes a corrective action (§9) and stops there.</w:t>
      </w:r>
    </w:p>
    <w:p>
      <w:pPr>
        <w:pStyle w:val="Heading2"/>
        <w:bidi w:val="0"/>
        <w:jc w:val="left"/>
        <w:rPr/>
      </w:pPr>
      <w:r>
        <w:rPr/>
        <w:t>3. Responsibilities</w:t>
      </w:r>
    </w:p>
    <w:tbl>
      <w:tblPr>
        <w:tblW w:w="5343" w:type="dxa"/>
        <w:jc w:val="left"/>
        <w:tblInd w:w="0" w:type="dxa"/>
        <w:tblLayout w:type="fixed"/>
        <w:tblCellMar>
          <w:top w:w="28" w:type="dxa"/>
          <w:left w:w="28" w:type="dxa"/>
          <w:bottom w:w="28" w:type="dxa"/>
          <w:right w:w="28" w:type="dxa"/>
        </w:tblCellMar>
      </w:tblPr>
      <w:tblGrid>
        <w:gridCol w:w="1226"/>
        <w:gridCol w:w="4117"/>
      </w:tblGrid>
      <w:tr>
        <w:trPr>
          <w:tblHeader w:val="true"/>
        </w:trPr>
        <w:tc>
          <w:tcPr>
            <w:tcW w:w="1226" w:type="dxa"/>
            <w:tcBorders/>
            <w:vAlign w:val="center"/>
          </w:tcPr>
          <w:p>
            <w:pPr>
              <w:pStyle w:val="TableHeading"/>
              <w:suppressLineNumbers/>
              <w:shd w:fill="1F3A5F" w:val="clear"/>
              <w:bidi w:val="0"/>
              <w:spacing w:before="0" w:after="283"/>
              <w:jc w:val="center"/>
              <w:rPr/>
            </w:pPr>
            <w:r>
              <w:rPr/>
              <w:t>Role</w:t>
            </w:r>
          </w:p>
        </w:tc>
        <w:tc>
          <w:tcPr>
            <w:tcW w:w="4117" w:type="dxa"/>
            <w:tcBorders/>
            <w:vAlign w:val="center"/>
          </w:tcPr>
          <w:p>
            <w:pPr>
              <w:pStyle w:val="TableHeading"/>
              <w:suppressLineNumbers/>
              <w:shd w:fill="1F3A5F" w:val="clear"/>
              <w:bidi w:val="0"/>
              <w:spacing w:before="0" w:after="283"/>
              <w:jc w:val="center"/>
              <w:rPr/>
            </w:pPr>
            <w:r>
              <w:rPr/>
              <w:t>Responsibility</w:t>
            </w:r>
          </w:p>
        </w:tc>
      </w:tr>
      <w:tr>
        <w:trPr/>
        <w:tc>
          <w:tcPr>
            <w:tcW w:w="1226" w:type="dxa"/>
            <w:tcBorders/>
            <w:vAlign w:val="center"/>
          </w:tcPr>
          <w:p>
            <w:pPr>
              <w:pStyle w:val="TableContents"/>
              <w:bidi w:val="0"/>
              <w:spacing w:before="0" w:after="283"/>
              <w:jc w:val="left"/>
              <w:rPr/>
            </w:pPr>
            <w:r>
              <w:rPr/>
              <w:t>Lead Engineer</w:t>
            </w:r>
          </w:p>
        </w:tc>
        <w:tc>
          <w:tcPr>
            <w:tcW w:w="4117" w:type="dxa"/>
            <w:tcBorders/>
            <w:vAlign w:val="center"/>
          </w:tcPr>
          <w:p>
            <w:pPr>
              <w:pStyle w:val="TableContents"/>
              <w:bidi w:val="0"/>
              <w:spacing w:before="0" w:after="283"/>
              <w:jc w:val="left"/>
              <w:rPr/>
            </w:pPr>
            <w:r>
              <w:rPr/>
              <w:t>Owns this procedure. Classifies severity, decides containment, performs correction, records the nonconformity, and proposes the disposition.</w:t>
            </w:r>
          </w:p>
        </w:tc>
      </w:tr>
      <w:tr>
        <w:trPr/>
        <w:tc>
          <w:tcPr>
            <w:tcW w:w="1226" w:type="dxa"/>
            <w:tcBorders/>
            <w:vAlign w:val="center"/>
          </w:tcPr>
          <w:p>
            <w:pPr>
              <w:pStyle w:val="TableContents"/>
              <w:bidi w:val="0"/>
              <w:spacing w:before="0" w:after="283"/>
              <w:jc w:val="left"/>
              <w:rPr/>
            </w:pPr>
            <w:r>
              <w:rPr/>
              <w:t>Managing Director</w:t>
            </w:r>
          </w:p>
        </w:tc>
        <w:tc>
          <w:tcPr>
            <w:tcW w:w="4117" w:type="dxa"/>
            <w:tcBorders/>
            <w:vAlign w:val="center"/>
          </w:tcPr>
          <w:p>
            <w:pPr>
              <w:pStyle w:val="TableContents"/>
              <w:bidi w:val="0"/>
              <w:spacing w:before="0" w:after="283"/>
              <w:jc w:val="left"/>
              <w:rPr/>
            </w:pPr>
            <w:r>
              <w:rPr/>
              <w:t>Authorises any disposition that releases nonconforming output to a customer — acceptance under concession, and every decision to inform or not inform a customer. Reviews all S1 and S2 records at management review (</w:t>
            </w:r>
            <w:r>
              <w:rPr>
                <w:rStyle w:val="SourceText"/>
              </w:rPr>
              <w:t>SOP-15</w:t>
            </w:r>
            <w:r>
              <w:rPr/>
              <w:t>).</w:t>
            </w:r>
          </w:p>
        </w:tc>
      </w:tr>
      <w:tr>
        <w:trPr/>
        <w:tc>
          <w:tcPr>
            <w:tcW w:w="1226" w:type="dxa"/>
            <w:tcBorders/>
            <w:vAlign w:val="center"/>
          </w:tcPr>
          <w:p>
            <w:pPr>
              <w:pStyle w:val="TableContents"/>
              <w:bidi w:val="0"/>
              <w:spacing w:before="0" w:after="283"/>
              <w:jc w:val="left"/>
              <w:rPr/>
            </w:pPr>
            <w:r>
              <w:rPr/>
              <w:t>Anyone contributing code</w:t>
            </w:r>
          </w:p>
        </w:tc>
        <w:tc>
          <w:tcPr>
            <w:tcW w:w="4117" w:type="dxa"/>
            <w:tcBorders/>
            <w:vAlign w:val="center"/>
          </w:tcPr>
          <w:p>
            <w:pPr>
              <w:pStyle w:val="TableContents"/>
              <w:bidi w:val="0"/>
              <w:spacing w:before="0" w:after="283"/>
              <w:jc w:val="left"/>
              <w:rPr/>
            </w:pPr>
            <w:r>
              <w:rPr/>
              <w:t>Raises a nonconformity as soon as it is recognised, including one found incidentally while working on something else, and including one they caused themselves.</w:t>
            </w:r>
          </w:p>
        </w:tc>
      </w:tr>
    </w:tbl>
    <w:p>
      <w:pPr>
        <w:pStyle w:val="BodyText"/>
        <w:bidi w:val="0"/>
        <w:jc w:val="left"/>
        <w:rPr/>
      </w:pPr>
      <w:r>
        <w:rPr/>
        <w:t>Ajace AI currently has one person, who holds all three roles (</w:t>
      </w:r>
      <w:r>
        <w:rPr>
          <w:rStyle w:val="SourceText"/>
        </w:rPr>
        <w:t>SOP-02</w:t>
      </w:r>
      <w:r>
        <w:rPr/>
        <w:t xml:space="preserve"> §3). Where this procedure requires authorisation by a different role from the one that proposed the action, that separation does not currently exist; the record must still be made, and the absence of independent authorisation is a recorded gap (§11).</w:t>
      </w:r>
    </w:p>
    <w:p>
      <w:pPr>
        <w:pStyle w:val="Heading2"/>
        <w:bidi w:val="0"/>
        <w:jc w:val="left"/>
        <w:rPr/>
      </w:pPr>
      <w:r>
        <w:rPr/>
        <w:t>4. What counts as nonconforming output for this product</w:t>
      </w:r>
    </w:p>
    <w:p>
      <w:pPr>
        <w:pStyle w:val="BodyText"/>
        <w:bidi w:val="0"/>
        <w:jc w:val="left"/>
        <w:rPr/>
      </w:pPr>
      <w:r>
        <w:rPr/>
        <w:t xml:space="preserve">Nonconformity for a grounded AI platform is not primarily a crash. A crash is visible. </w:t>
      </w:r>
      <w:r>
        <w:rPr>
          <w:rStyle w:val="Strong"/>
        </w:rPr>
        <w:t>The severe nonconformity for EchoMind Enterprise is an ungrounded, fabricated or misattributed answer reaching a user</w:t>
      </w:r>
      <w:r>
        <w:rPr/>
        <w:t xml:space="preserve">, because it is </w:t>
      </w:r>
      <w:r>
        <w:rPr>
          <w:rStyle w:val="Emphasis"/>
        </w:rPr>
        <w:t>invisible</w:t>
      </w:r>
      <w:r>
        <w:rPr/>
        <w:t xml:space="preserve"> — it is delivered in the same confident form as a correct answer, to a user in a regulated sector who may act on it.</w:t>
      </w:r>
    </w:p>
    <w:tbl>
      <w:tblPr>
        <w:tblW w:w="5343" w:type="dxa"/>
        <w:jc w:val="left"/>
        <w:tblInd w:w="0" w:type="dxa"/>
        <w:tblLayout w:type="fixed"/>
        <w:tblCellMar>
          <w:top w:w="28" w:type="dxa"/>
          <w:left w:w="28" w:type="dxa"/>
          <w:bottom w:w="28" w:type="dxa"/>
          <w:right w:w="28" w:type="dxa"/>
        </w:tblCellMar>
      </w:tblPr>
      <w:tblGrid>
        <w:gridCol w:w="1732"/>
        <w:gridCol w:w="1947"/>
        <w:gridCol w:w="1664"/>
      </w:tblGrid>
      <w:tr>
        <w:trPr>
          <w:tblHeader w:val="true"/>
        </w:trPr>
        <w:tc>
          <w:tcPr>
            <w:tcW w:w="1732" w:type="dxa"/>
            <w:tcBorders/>
            <w:vAlign w:val="center"/>
          </w:tcPr>
          <w:p>
            <w:pPr>
              <w:pStyle w:val="TableHeading"/>
              <w:suppressLineNumbers/>
              <w:shd w:fill="1F3A5F" w:val="clear"/>
              <w:bidi w:val="0"/>
              <w:spacing w:before="0" w:after="283"/>
              <w:jc w:val="center"/>
              <w:rPr/>
            </w:pPr>
            <w:r>
              <w:rPr/>
              <w:t>Class</w:t>
            </w:r>
          </w:p>
        </w:tc>
        <w:tc>
          <w:tcPr>
            <w:tcW w:w="1947" w:type="dxa"/>
            <w:tcBorders/>
            <w:vAlign w:val="center"/>
          </w:tcPr>
          <w:p>
            <w:pPr>
              <w:pStyle w:val="TableHeading"/>
              <w:suppressLineNumbers/>
              <w:shd w:fill="1F3A5F" w:val="clear"/>
              <w:bidi w:val="0"/>
              <w:spacing w:before="0" w:after="283"/>
              <w:jc w:val="center"/>
              <w:rPr/>
            </w:pPr>
            <w:r>
              <w:rPr/>
              <w:t>Definition</w:t>
            </w:r>
          </w:p>
        </w:tc>
        <w:tc>
          <w:tcPr>
            <w:tcW w:w="1664" w:type="dxa"/>
            <w:tcBorders/>
            <w:vAlign w:val="center"/>
          </w:tcPr>
          <w:p>
            <w:pPr>
              <w:pStyle w:val="TableHeading"/>
              <w:suppressLineNumbers/>
              <w:shd w:fill="1F3A5F" w:val="clear"/>
              <w:bidi w:val="0"/>
              <w:spacing w:before="0" w:after="283"/>
              <w:jc w:val="center"/>
              <w:rPr/>
            </w:pPr>
            <w:r>
              <w:rPr/>
              <w:t>Why it matters here</w:t>
            </w:r>
          </w:p>
        </w:tc>
      </w:tr>
      <w:tr>
        <w:trPr/>
        <w:tc>
          <w:tcPr>
            <w:tcW w:w="1732" w:type="dxa"/>
            <w:tcBorders/>
            <w:vAlign w:val="center"/>
          </w:tcPr>
          <w:p>
            <w:pPr>
              <w:pStyle w:val="TableContents"/>
              <w:bidi w:val="0"/>
              <w:spacing w:before="0" w:after="283"/>
              <w:jc w:val="left"/>
              <w:rPr/>
            </w:pPr>
            <w:r>
              <w:rPr>
                <w:rStyle w:val="Strong"/>
              </w:rPr>
              <w:t>N1 — Grounding failure</w:t>
            </w:r>
          </w:p>
        </w:tc>
        <w:tc>
          <w:tcPr>
            <w:tcW w:w="1947" w:type="dxa"/>
            <w:tcBorders/>
            <w:vAlign w:val="center"/>
          </w:tcPr>
          <w:p>
            <w:pPr>
              <w:pStyle w:val="TableContents"/>
              <w:bidi w:val="0"/>
              <w:spacing w:before="0" w:after="283"/>
              <w:jc w:val="left"/>
              <w:rPr/>
            </w:pPr>
            <w:r>
              <w:rPr/>
              <w:t>A fabricated fact; a fabricated or misattributed citation; an invented figure; or a confident answer where the retrieved material does not support one</w:t>
            </w:r>
          </w:p>
        </w:tc>
        <w:tc>
          <w:tcPr>
            <w:tcW w:w="1664" w:type="dxa"/>
            <w:tcBorders/>
            <w:vAlign w:val="center"/>
          </w:tcPr>
          <w:p>
            <w:pPr>
              <w:pStyle w:val="TableContents"/>
              <w:bidi w:val="0"/>
              <w:spacing w:before="0" w:after="283"/>
              <w:jc w:val="left"/>
              <w:rPr/>
            </w:pPr>
            <w:r>
              <w:rPr/>
              <w:t>The customer cannot tell it apart from a correct answer. In defence, legal, finance or healthcare use the consequence sits with the customer, not with us</w:t>
            </w:r>
          </w:p>
        </w:tc>
      </w:tr>
      <w:tr>
        <w:trPr/>
        <w:tc>
          <w:tcPr>
            <w:tcW w:w="1732" w:type="dxa"/>
            <w:tcBorders/>
            <w:vAlign w:val="center"/>
          </w:tcPr>
          <w:p>
            <w:pPr>
              <w:pStyle w:val="TableContents"/>
              <w:bidi w:val="0"/>
              <w:spacing w:before="0" w:after="283"/>
              <w:jc w:val="left"/>
              <w:rPr/>
            </w:pPr>
            <w:r>
              <w:rPr>
                <w:rStyle w:val="Strong"/>
              </w:rPr>
              <w:t>N2 — Tenant or namespace isolation failure</w:t>
            </w:r>
          </w:p>
        </w:tc>
        <w:tc>
          <w:tcPr>
            <w:tcW w:w="1947" w:type="dxa"/>
            <w:tcBorders/>
            <w:vAlign w:val="center"/>
          </w:tcPr>
          <w:p>
            <w:pPr>
              <w:pStyle w:val="TableContents"/>
              <w:bidi w:val="0"/>
              <w:spacing w:before="0" w:after="283"/>
              <w:jc w:val="left"/>
              <w:rPr/>
            </w:pPr>
            <w:r>
              <w:rPr/>
              <w:t>Content from one knowledge-base namespace reaching a query scoped to another</w:t>
            </w:r>
          </w:p>
        </w:tc>
        <w:tc>
          <w:tcPr>
            <w:tcW w:w="1664" w:type="dxa"/>
            <w:tcBorders/>
            <w:vAlign w:val="center"/>
          </w:tcPr>
          <w:p>
            <w:pPr>
              <w:pStyle w:val="TableContents"/>
              <w:bidi w:val="0"/>
              <w:spacing w:before="0" w:after="283"/>
              <w:jc w:val="left"/>
              <w:rPr/>
            </w:pPr>
            <w:r>
              <w:rPr/>
              <w:t>A confidentiality breach in the customer's terms, not a retrieval bug in ours</w:t>
            </w:r>
          </w:p>
        </w:tc>
      </w:tr>
      <w:tr>
        <w:trPr/>
        <w:tc>
          <w:tcPr>
            <w:tcW w:w="1732" w:type="dxa"/>
            <w:tcBorders/>
            <w:vAlign w:val="center"/>
          </w:tcPr>
          <w:p>
            <w:pPr>
              <w:pStyle w:val="TableContents"/>
              <w:bidi w:val="0"/>
              <w:spacing w:before="0" w:after="283"/>
              <w:jc w:val="left"/>
              <w:rPr/>
            </w:pPr>
            <w:r>
              <w:rPr>
                <w:rStyle w:val="Strong"/>
              </w:rPr>
              <w:t>N3 — Silent failure</w:t>
            </w:r>
          </w:p>
        </w:tc>
        <w:tc>
          <w:tcPr>
            <w:tcW w:w="1947" w:type="dxa"/>
            <w:tcBorders/>
            <w:vAlign w:val="center"/>
          </w:tcPr>
          <w:p>
            <w:pPr>
              <w:pStyle w:val="TableContents"/>
              <w:bidi w:val="0"/>
              <w:spacing w:before="0" w:after="283"/>
              <w:jc w:val="left"/>
              <w:rPr/>
            </w:pPr>
            <w:r>
              <w:rPr/>
              <w:t>An operation that fails but returns an empty or successful-looking result, with nothing raised to the user and nothing at ERROR in the logs</w:t>
            </w:r>
          </w:p>
        </w:tc>
        <w:tc>
          <w:tcPr>
            <w:tcW w:w="1664" w:type="dxa"/>
            <w:tcBorders/>
            <w:vAlign w:val="center"/>
          </w:tcPr>
          <w:p>
            <w:pPr>
              <w:pStyle w:val="TableContents"/>
              <w:bidi w:val="0"/>
              <w:spacing w:before="0" w:after="283"/>
              <w:jc w:val="left"/>
              <w:rPr/>
            </w:pPr>
            <w:r>
              <w:rPr/>
              <w:t>Undetectable without deliberate testing; erodes trust in every other output</w:t>
            </w:r>
          </w:p>
        </w:tc>
      </w:tr>
      <w:tr>
        <w:trPr/>
        <w:tc>
          <w:tcPr>
            <w:tcW w:w="1732" w:type="dxa"/>
            <w:tcBorders/>
            <w:vAlign w:val="center"/>
          </w:tcPr>
          <w:p>
            <w:pPr>
              <w:pStyle w:val="TableContents"/>
              <w:bidi w:val="0"/>
              <w:spacing w:before="0" w:after="283"/>
              <w:jc w:val="left"/>
              <w:rPr/>
            </w:pPr>
            <w:r>
              <w:rPr>
                <w:rStyle w:val="Strong"/>
              </w:rPr>
              <w:t>N4 — Loss of service</w:t>
            </w:r>
          </w:p>
        </w:tc>
        <w:tc>
          <w:tcPr>
            <w:tcW w:w="1947" w:type="dxa"/>
            <w:tcBorders/>
            <w:vAlign w:val="center"/>
          </w:tcPr>
          <w:p>
            <w:pPr>
              <w:pStyle w:val="TableContents"/>
              <w:bidi w:val="0"/>
              <w:spacing w:before="0" w:after="283"/>
              <w:jc w:val="left"/>
              <w:rPr/>
            </w:pPr>
            <w:r>
              <w:rPr/>
              <w:t>A container crash-loop, a failed build, a module unavailable</w:t>
            </w:r>
          </w:p>
        </w:tc>
        <w:tc>
          <w:tcPr>
            <w:tcW w:w="1664" w:type="dxa"/>
            <w:tcBorders/>
            <w:vAlign w:val="center"/>
          </w:tcPr>
          <w:p>
            <w:pPr>
              <w:pStyle w:val="TableContents"/>
              <w:bidi w:val="0"/>
              <w:spacing w:before="0" w:after="283"/>
              <w:jc w:val="left"/>
              <w:rPr/>
            </w:pPr>
            <w:r>
              <w:rPr/>
              <w:t>Visible, and therefore self-reporting</w:t>
            </w:r>
          </w:p>
        </w:tc>
      </w:tr>
      <w:tr>
        <w:trPr/>
        <w:tc>
          <w:tcPr>
            <w:tcW w:w="1732" w:type="dxa"/>
            <w:tcBorders/>
            <w:vAlign w:val="center"/>
          </w:tcPr>
          <w:p>
            <w:pPr>
              <w:pStyle w:val="TableContents"/>
              <w:bidi w:val="0"/>
              <w:spacing w:before="0" w:after="283"/>
              <w:jc w:val="left"/>
              <w:rPr/>
            </w:pPr>
            <w:r>
              <w:rPr>
                <w:rStyle w:val="Strong"/>
              </w:rPr>
              <w:t>N5 — Degraded behaviour</w:t>
            </w:r>
          </w:p>
        </w:tc>
        <w:tc>
          <w:tcPr>
            <w:tcW w:w="1947" w:type="dxa"/>
            <w:tcBorders/>
            <w:vAlign w:val="center"/>
          </w:tcPr>
          <w:p>
            <w:pPr>
              <w:pStyle w:val="TableContents"/>
              <w:bidi w:val="0"/>
              <w:spacing w:before="0" w:after="283"/>
              <w:jc w:val="left"/>
              <w:rPr/>
            </w:pPr>
            <w:r>
              <w:rPr/>
              <w:t>Latency outside the usable range, quality regression short of fabrication, truncated or malformed output</w:t>
            </w:r>
          </w:p>
        </w:tc>
        <w:tc>
          <w:tcPr>
            <w:tcW w:w="1664" w:type="dxa"/>
            <w:tcBorders/>
            <w:vAlign w:val="center"/>
          </w:tcPr>
          <w:p>
            <w:pPr>
              <w:pStyle w:val="TableContents"/>
              <w:bidi w:val="0"/>
              <w:spacing w:before="0" w:after="283"/>
              <w:jc w:val="left"/>
              <w:rPr/>
            </w:pPr>
            <w:r>
              <w:rPr/>
              <w:t>Usually measurable before a user reports it</w:t>
            </w:r>
          </w:p>
        </w:tc>
      </w:tr>
      <w:tr>
        <w:trPr/>
        <w:tc>
          <w:tcPr>
            <w:tcW w:w="1732" w:type="dxa"/>
            <w:tcBorders/>
            <w:vAlign w:val="center"/>
          </w:tcPr>
          <w:p>
            <w:pPr>
              <w:pStyle w:val="TableContents"/>
              <w:bidi w:val="0"/>
              <w:spacing w:before="0" w:after="283"/>
              <w:jc w:val="left"/>
              <w:rPr/>
            </w:pPr>
            <w:r>
              <w:rPr>
                <w:rStyle w:val="Strong"/>
              </w:rPr>
              <w:t>N6 — Documentation or release defect</w:t>
            </w:r>
          </w:p>
        </w:tc>
        <w:tc>
          <w:tcPr>
            <w:tcW w:w="1947" w:type="dxa"/>
            <w:tcBorders/>
            <w:vAlign w:val="center"/>
          </w:tcPr>
          <w:p>
            <w:pPr>
              <w:pStyle w:val="TableContents"/>
              <w:bidi w:val="0"/>
              <w:spacing w:before="0" w:after="283"/>
              <w:jc w:val="left"/>
              <w:rPr/>
            </w:pPr>
            <w:r>
              <w:rPr/>
              <w:t>Shipped documentation that contradicts the running system</w:t>
            </w:r>
          </w:p>
        </w:tc>
        <w:tc>
          <w:tcPr>
            <w:tcW w:w="1664" w:type="dxa"/>
            <w:tcBorders/>
            <w:vAlign w:val="center"/>
          </w:tcPr>
          <w:p>
            <w:pPr>
              <w:pStyle w:val="TableContents"/>
              <w:bidi w:val="0"/>
              <w:spacing w:before="0" w:after="283"/>
              <w:jc w:val="left"/>
              <w:rPr/>
            </w:pPr>
            <w:r>
              <w:rPr/>
              <w:t>Misleads the operator, who then misconfigures the deployment</w:t>
            </w:r>
          </w:p>
        </w:tc>
      </w:tr>
    </w:tbl>
    <w:p>
      <w:pPr>
        <w:pStyle w:val="BodyText"/>
        <w:bidi w:val="0"/>
        <w:jc w:val="left"/>
        <w:rPr/>
      </w:pPr>
      <w:r>
        <w:rPr/>
        <w:t xml:space="preserve">Controls that exist today specifically against </w:t>
      </w:r>
      <w:r>
        <w:rPr>
          <w:rStyle w:val="Strong"/>
        </w:rPr>
        <w:t>N1</w:t>
      </w:r>
      <w:r>
        <w:rPr/>
        <w:t>, cited so an auditor can read them:</w:t>
      </w:r>
    </w:p>
    <w:tbl>
      <w:tblPr>
        <w:tblW w:w="5343" w:type="dxa"/>
        <w:jc w:val="left"/>
        <w:tblInd w:w="0" w:type="dxa"/>
        <w:tblLayout w:type="fixed"/>
        <w:tblCellMar>
          <w:top w:w="28" w:type="dxa"/>
          <w:left w:w="28" w:type="dxa"/>
          <w:bottom w:w="28" w:type="dxa"/>
          <w:right w:w="28" w:type="dxa"/>
        </w:tblCellMar>
      </w:tblPr>
      <w:tblGrid>
        <w:gridCol w:w="1860"/>
        <w:gridCol w:w="3483"/>
      </w:tblGrid>
      <w:tr>
        <w:trPr>
          <w:tblHeader w:val="true"/>
        </w:trPr>
        <w:tc>
          <w:tcPr>
            <w:tcW w:w="1860" w:type="dxa"/>
            <w:tcBorders/>
            <w:vAlign w:val="center"/>
          </w:tcPr>
          <w:p>
            <w:pPr>
              <w:pStyle w:val="TableHeading"/>
              <w:suppressLineNumbers/>
              <w:shd w:fill="1F3A5F" w:val="clear"/>
              <w:bidi w:val="0"/>
              <w:spacing w:before="0" w:after="283"/>
              <w:jc w:val="center"/>
              <w:rPr/>
            </w:pPr>
            <w:r>
              <w:rPr/>
              <w:t>Control</w:t>
            </w:r>
          </w:p>
        </w:tc>
        <w:tc>
          <w:tcPr>
            <w:tcW w:w="3483" w:type="dxa"/>
            <w:tcBorders/>
            <w:vAlign w:val="center"/>
          </w:tcPr>
          <w:p>
            <w:pPr>
              <w:pStyle w:val="TableHeading"/>
              <w:suppressLineNumbers/>
              <w:shd w:fill="1F3A5F" w:val="clear"/>
              <w:bidi w:val="0"/>
              <w:spacing w:before="0" w:after="283"/>
              <w:jc w:val="center"/>
              <w:rPr/>
            </w:pPr>
            <w:r>
              <w:rPr/>
              <w:t>Where</w:t>
            </w:r>
          </w:p>
        </w:tc>
      </w:tr>
      <w:tr>
        <w:trPr/>
        <w:tc>
          <w:tcPr>
            <w:tcW w:w="1860" w:type="dxa"/>
            <w:tcBorders/>
            <w:vAlign w:val="center"/>
          </w:tcPr>
          <w:p>
            <w:pPr>
              <w:pStyle w:val="TableContents"/>
              <w:bidi w:val="0"/>
              <w:spacing w:before="0" w:after="283"/>
              <w:jc w:val="left"/>
              <w:rPr/>
            </w:pPr>
            <w:r>
              <w:rPr/>
              <w:t>Cross-encoder relevance reranking of the retrieved candidate pool</w:t>
            </w:r>
          </w:p>
        </w:tc>
        <w:tc>
          <w:tcPr>
            <w:tcW w:w="3483" w:type="dxa"/>
            <w:tcBorders/>
            <w:vAlign w:val="center"/>
          </w:tcPr>
          <w:p>
            <w:pPr>
              <w:pStyle w:val="TableContents"/>
              <w:bidi w:val="0"/>
              <w:spacing w:before="0" w:after="283"/>
              <w:jc w:val="left"/>
              <w:rPr/>
            </w:pPr>
            <w:r>
              <w:rPr>
                <w:rStyle w:val="SourceText"/>
              </w:rPr>
              <w:t>backend/app/rag/advanced.py:616-644</w:t>
            </w:r>
            <w:r>
              <w:rPr/>
              <w:t xml:space="preserve">, using </w:t>
            </w:r>
            <w:r>
              <w:rPr>
                <w:rStyle w:val="SourceText"/>
              </w:rPr>
              <w:t>backend/app/rag/reranker.py</w:t>
            </w:r>
          </w:p>
        </w:tc>
      </w:tr>
      <w:tr>
        <w:trPr/>
        <w:tc>
          <w:tcPr>
            <w:tcW w:w="1860" w:type="dxa"/>
            <w:tcBorders/>
            <w:vAlign w:val="center"/>
          </w:tcPr>
          <w:p>
            <w:pPr>
              <w:pStyle w:val="TableContents"/>
              <w:bidi w:val="0"/>
              <w:spacing w:before="0" w:after="283"/>
              <w:jc w:val="left"/>
              <w:rPr/>
            </w:pPr>
            <w:r>
              <w:rPr/>
              <w:t>Relevance threshold below which no source is accepted as an answer basis</w:t>
            </w:r>
          </w:p>
        </w:tc>
        <w:tc>
          <w:tcPr>
            <w:tcW w:w="3483" w:type="dxa"/>
            <w:tcBorders/>
            <w:vAlign w:val="center"/>
          </w:tcPr>
          <w:p>
            <w:pPr>
              <w:pStyle w:val="TableContents"/>
              <w:bidi w:val="0"/>
              <w:spacing w:before="0" w:after="283"/>
              <w:jc w:val="left"/>
              <w:rPr/>
            </w:pPr>
            <w:r>
              <w:rPr>
                <w:rStyle w:val="SourceText"/>
              </w:rPr>
              <w:t>backend/app/rag/advanced.py:1699-1712</w:t>
            </w:r>
            <w:r>
              <w:rPr/>
              <w:t xml:space="preserve"> (</w:t>
            </w:r>
            <w:r>
              <w:rPr>
                <w:rStyle w:val="SourceText"/>
              </w:rPr>
              <w:t>settings.RAG_RELEVANCE_THRESHOLD</w:t>
            </w:r>
            <w:r>
              <w:rPr/>
              <w:t>)</w:t>
            </w:r>
          </w:p>
        </w:tc>
      </w:tr>
      <w:tr>
        <w:trPr/>
        <w:tc>
          <w:tcPr>
            <w:tcW w:w="1860" w:type="dxa"/>
            <w:tcBorders/>
            <w:vAlign w:val="center"/>
          </w:tcPr>
          <w:p>
            <w:pPr>
              <w:pStyle w:val="TableContents"/>
              <w:bidi w:val="0"/>
              <w:spacing w:before="0" w:after="283"/>
              <w:jc w:val="left"/>
              <w:rPr/>
            </w:pPr>
            <w:r>
              <w:rPr/>
              <w:t>Deterministic not-found response instead of falling back to ungrounded general chat</w:t>
            </w:r>
          </w:p>
        </w:tc>
        <w:tc>
          <w:tcPr>
            <w:tcW w:w="3483" w:type="dxa"/>
            <w:tcBorders/>
            <w:vAlign w:val="center"/>
          </w:tcPr>
          <w:p>
            <w:pPr>
              <w:pStyle w:val="TableContents"/>
              <w:bidi w:val="0"/>
              <w:spacing w:before="0" w:after="283"/>
              <w:jc w:val="left"/>
              <w:rPr/>
            </w:pPr>
            <w:r>
              <w:rPr>
                <w:rStyle w:val="SourceText"/>
              </w:rPr>
              <w:t>backend/app/rag/advanced.py:74-80</w:t>
            </w:r>
            <w:r>
              <w:rPr/>
              <w:t xml:space="preserve"> (</w:t>
            </w:r>
            <w:r>
              <w:rPr>
                <w:rStyle w:val="SourceText"/>
              </w:rPr>
              <w:t>INSUFFICIENT_CONTEXT_MSG</w:t>
            </w:r>
            <w:r>
              <w:rPr/>
              <w:t>)</w:t>
            </w:r>
          </w:p>
        </w:tc>
      </w:tr>
      <w:tr>
        <w:trPr/>
        <w:tc>
          <w:tcPr>
            <w:tcW w:w="1860" w:type="dxa"/>
            <w:tcBorders/>
            <w:vAlign w:val="center"/>
          </w:tcPr>
          <w:p>
            <w:pPr>
              <w:pStyle w:val="TableContents"/>
              <w:bidi w:val="0"/>
              <w:spacing w:before="0" w:after="283"/>
              <w:jc w:val="left"/>
              <w:rPr/>
            </w:pPr>
            <w:r>
              <w:rPr/>
              <w:t>Retrieved and recorded content fenced as untrusted data in every prompt</w:t>
            </w:r>
          </w:p>
        </w:tc>
        <w:tc>
          <w:tcPr>
            <w:tcW w:w="3483" w:type="dxa"/>
            <w:tcBorders/>
            <w:vAlign w:val="center"/>
          </w:tcPr>
          <w:p>
            <w:pPr>
              <w:pStyle w:val="TableContents"/>
              <w:bidi w:val="0"/>
              <w:spacing w:before="0" w:after="283"/>
              <w:jc w:val="left"/>
              <w:rPr/>
            </w:pPr>
            <w:r>
              <w:rPr>
                <w:rStyle w:val="SourceText"/>
              </w:rPr>
              <w:t>backend/app/api/routes/chat.py:20</w:t>
            </w:r>
            <w:r>
              <w:rPr/>
              <w:t xml:space="preserve"> (</w:t>
            </w:r>
            <w:r>
              <w:rPr>
                <w:rStyle w:val="SourceText"/>
              </w:rPr>
              <w:t>_fence_untrusted</w:t>
            </w:r>
            <w:r>
              <w:rPr/>
              <w:t xml:space="preserve">); asserted by </w:t>
            </w:r>
            <w:r>
              <w:rPr>
                <w:rStyle w:val="SourceText"/>
              </w:rPr>
              <w:t>backend/tests/test_prompt_guards.py</w:t>
            </w:r>
            <w:r>
              <w:rPr/>
              <w:t xml:space="preserve"> (5 tests over the analyser, compress, contextualiser, RAG and strict prompts, plus lawyer-persona disclaimer consistency)</w:t>
            </w:r>
          </w:p>
        </w:tc>
      </w:tr>
      <w:tr>
        <w:trPr/>
        <w:tc>
          <w:tcPr>
            <w:tcW w:w="1860" w:type="dxa"/>
            <w:tcBorders/>
            <w:vAlign w:val="center"/>
          </w:tcPr>
          <w:p>
            <w:pPr>
              <w:pStyle w:val="TableContents"/>
              <w:bidi w:val="0"/>
              <w:spacing w:before="0" w:after="283"/>
              <w:jc w:val="left"/>
              <w:rPr/>
            </w:pPr>
            <w:r>
              <w:rPr/>
              <w:t>Namespace predicate applied inside every index search path</w:t>
            </w:r>
          </w:p>
        </w:tc>
        <w:tc>
          <w:tcPr>
            <w:tcW w:w="3483" w:type="dxa"/>
            <w:tcBorders/>
            <w:vAlign w:val="center"/>
          </w:tcPr>
          <w:p>
            <w:pPr>
              <w:pStyle w:val="TableContents"/>
              <w:bidi w:val="0"/>
              <w:spacing w:before="0" w:after="283"/>
              <w:jc w:val="left"/>
              <w:rPr/>
            </w:pPr>
            <w:r>
              <w:rPr>
                <w:rStyle w:val="SourceText"/>
              </w:rPr>
              <w:t>backend/app/rag/index.py:37-40</w:t>
            </w:r>
            <w:r>
              <w:rPr/>
              <w:t xml:space="preserve"> (</w:t>
            </w:r>
            <w:r>
              <w:rPr>
                <w:rStyle w:val="SourceText"/>
              </w:rPr>
              <w:t>_ns_ok</w:t>
            </w:r>
            <w:r>
              <w:rPr/>
              <w:t>)</w:t>
            </w:r>
          </w:p>
        </w:tc>
      </w:tr>
    </w:tbl>
    <w:p>
      <w:pPr>
        <w:pStyle w:val="Heading2"/>
        <w:bidi w:val="0"/>
        <w:jc w:val="left"/>
        <w:rPr/>
      </w:pPr>
      <w:r>
        <w:rPr/>
        <w:t>5. Severity scale and required response</w:t>
      </w:r>
    </w:p>
    <w:p>
      <w:pPr>
        <w:pStyle w:val="BodyText"/>
        <w:bidi w:val="0"/>
        <w:jc w:val="left"/>
        <w:rPr/>
      </w:pPr>
      <w:r>
        <w:rPr/>
        <w:t xml:space="preserve">Severity is assigned at the moment of detection, by the person who detected it, and is revised only upwards until the record is closed. The impact levels correspond to the impact scale in </w:t>
      </w:r>
      <w:r>
        <w:rPr>
          <w:rStyle w:val="SourceText"/>
        </w:rPr>
        <w:t>SOP-02</w:t>
      </w:r>
      <w:r>
        <w:rPr/>
        <w:t xml:space="preserve"> §7.</w:t>
      </w:r>
    </w:p>
    <w:tbl>
      <w:tblPr>
        <w:tblW w:w="5343" w:type="dxa"/>
        <w:jc w:val="left"/>
        <w:tblInd w:w="0" w:type="dxa"/>
        <w:tblLayout w:type="fixed"/>
        <w:tblCellMar>
          <w:top w:w="28" w:type="dxa"/>
          <w:left w:w="28" w:type="dxa"/>
          <w:bottom w:w="28" w:type="dxa"/>
          <w:right w:w="28" w:type="dxa"/>
        </w:tblCellMar>
      </w:tblPr>
      <w:tblGrid>
        <w:gridCol w:w="811"/>
        <w:gridCol w:w="1737"/>
        <w:gridCol w:w="1112"/>
        <w:gridCol w:w="1683"/>
      </w:tblGrid>
      <w:tr>
        <w:trPr>
          <w:tblHeader w:val="true"/>
        </w:trPr>
        <w:tc>
          <w:tcPr>
            <w:tcW w:w="811" w:type="dxa"/>
            <w:tcBorders/>
            <w:vAlign w:val="center"/>
          </w:tcPr>
          <w:p>
            <w:pPr>
              <w:pStyle w:val="TableHeading"/>
              <w:suppressLineNumbers/>
              <w:shd w:fill="1F3A5F" w:val="clear"/>
              <w:bidi w:val="0"/>
              <w:spacing w:before="0" w:after="283"/>
              <w:jc w:val="center"/>
              <w:rPr/>
            </w:pPr>
            <w:r>
              <w:rPr/>
              <w:t>Severity</w:t>
            </w:r>
          </w:p>
        </w:tc>
        <w:tc>
          <w:tcPr>
            <w:tcW w:w="1737" w:type="dxa"/>
            <w:tcBorders/>
            <w:vAlign w:val="center"/>
          </w:tcPr>
          <w:p>
            <w:pPr>
              <w:pStyle w:val="TableHeading"/>
              <w:suppressLineNumbers/>
              <w:shd w:fill="1F3A5F" w:val="clear"/>
              <w:bidi w:val="0"/>
              <w:spacing w:before="0" w:after="283"/>
              <w:jc w:val="center"/>
              <w:rPr/>
            </w:pPr>
            <w:r>
              <w:rPr/>
              <w:t>Definition</w:t>
            </w:r>
          </w:p>
        </w:tc>
        <w:tc>
          <w:tcPr>
            <w:tcW w:w="1112" w:type="dxa"/>
            <w:tcBorders/>
            <w:vAlign w:val="center"/>
          </w:tcPr>
          <w:p>
            <w:pPr>
              <w:pStyle w:val="TableHeading"/>
              <w:suppressLineNumbers/>
              <w:shd w:fill="1F3A5F" w:val="clear"/>
              <w:bidi w:val="0"/>
              <w:spacing w:before="0" w:after="283"/>
              <w:jc w:val="center"/>
              <w:rPr/>
            </w:pPr>
            <w:r>
              <w:rPr/>
              <w:t>Required response</w:t>
            </w:r>
          </w:p>
        </w:tc>
        <w:tc>
          <w:tcPr>
            <w:tcW w:w="1683" w:type="dxa"/>
            <w:tcBorders/>
            <w:vAlign w:val="center"/>
          </w:tcPr>
          <w:p>
            <w:pPr>
              <w:pStyle w:val="TableHeading"/>
              <w:suppressLineNumbers/>
              <w:shd w:fill="1F3A5F" w:val="clear"/>
              <w:bidi w:val="0"/>
              <w:spacing w:before="0" w:after="283"/>
              <w:jc w:val="center"/>
              <w:rPr/>
            </w:pPr>
            <w:r>
              <w:rPr/>
              <w:t>Required record</w:t>
            </w:r>
          </w:p>
        </w:tc>
      </w:tr>
      <w:tr>
        <w:trPr/>
        <w:tc>
          <w:tcPr>
            <w:tcW w:w="811" w:type="dxa"/>
            <w:tcBorders/>
            <w:vAlign w:val="center"/>
          </w:tcPr>
          <w:p>
            <w:pPr>
              <w:pStyle w:val="TableContents"/>
              <w:bidi w:val="0"/>
              <w:spacing w:before="0" w:after="283"/>
              <w:jc w:val="left"/>
              <w:rPr/>
            </w:pPr>
            <w:r>
              <w:rPr>
                <w:rStyle w:val="Strong"/>
              </w:rPr>
              <w:t>S1</w:t>
            </w:r>
          </w:p>
        </w:tc>
        <w:tc>
          <w:tcPr>
            <w:tcW w:w="1737" w:type="dxa"/>
            <w:tcBorders/>
            <w:vAlign w:val="center"/>
          </w:tcPr>
          <w:p>
            <w:pPr>
              <w:pStyle w:val="TableContents"/>
              <w:bidi w:val="0"/>
              <w:spacing w:before="0" w:after="283"/>
              <w:jc w:val="left"/>
              <w:rPr/>
            </w:pPr>
            <w:r>
              <w:rPr/>
              <w:t>Incorrect, fabricated or misattributed content has reached, or could reach, a user (N1); or a tenant-isolation breach (N2); or customer data lost or exposed</w:t>
            </w:r>
          </w:p>
        </w:tc>
        <w:tc>
          <w:tcPr>
            <w:tcW w:w="1112" w:type="dxa"/>
            <w:tcBorders/>
            <w:vAlign w:val="center"/>
          </w:tcPr>
          <w:p>
            <w:pPr>
              <w:pStyle w:val="TableContents"/>
              <w:bidi w:val="0"/>
              <w:spacing w:before="0" w:after="283"/>
              <w:jc w:val="left"/>
              <w:rPr/>
            </w:pPr>
            <w:r>
              <w:rPr/>
              <w:t xml:space="preserve">Contain immediately — disable the affected path rather than leave it serving. Correction before any other work in that area. Always escalates to corrective action under </w:t>
            </w:r>
            <w:r>
              <w:rPr>
                <w:rStyle w:val="SourceText"/>
              </w:rPr>
              <w:t>SOP-14</w:t>
            </w:r>
            <w:r>
              <w:rPr/>
              <w:t>. Customer notification decision recorded by the Managing Director (§8.4)</w:t>
            </w:r>
          </w:p>
        </w:tc>
        <w:tc>
          <w:tcPr>
            <w:tcW w:w="1683" w:type="dxa"/>
            <w:tcBorders/>
            <w:vAlign w:val="center"/>
          </w:tcPr>
          <w:p>
            <w:pPr>
              <w:pStyle w:val="TableContents"/>
              <w:bidi w:val="0"/>
              <w:spacing w:before="0" w:after="283"/>
              <w:jc w:val="left"/>
              <w:rPr/>
            </w:pPr>
            <w:r>
              <w:rPr/>
              <w:t xml:space="preserve">Full record on </w:t>
            </w:r>
            <w:r>
              <w:rPr>
                <w:rStyle w:val="SourceText"/>
              </w:rPr>
              <w:t>forms/FRM-05_Nonconformity_and_CAPA_Record.md</w:t>
            </w:r>
            <w:r>
              <w:rPr/>
              <w:t xml:space="preserve">, logged in </w:t>
            </w:r>
            <w:r>
              <w:rPr>
                <w:rStyle w:val="SourceText"/>
              </w:rPr>
              <w:t>registers/REG-04_Nonconformity_and_CAPA_Log.md</w:t>
            </w:r>
            <w:r>
              <w:rPr/>
              <w:t>, plus verification evidence</w:t>
            </w:r>
          </w:p>
        </w:tc>
      </w:tr>
      <w:tr>
        <w:trPr/>
        <w:tc>
          <w:tcPr>
            <w:tcW w:w="811" w:type="dxa"/>
            <w:tcBorders/>
            <w:vAlign w:val="center"/>
          </w:tcPr>
          <w:p>
            <w:pPr>
              <w:pStyle w:val="TableContents"/>
              <w:bidi w:val="0"/>
              <w:spacing w:before="0" w:after="283"/>
              <w:jc w:val="left"/>
              <w:rPr/>
            </w:pPr>
            <w:r>
              <w:rPr>
                <w:rStyle w:val="Strong"/>
              </w:rPr>
              <w:t>S2</w:t>
            </w:r>
          </w:p>
        </w:tc>
        <w:tc>
          <w:tcPr>
            <w:tcW w:w="1737" w:type="dxa"/>
            <w:tcBorders/>
            <w:vAlign w:val="center"/>
          </w:tcPr>
          <w:p>
            <w:pPr>
              <w:pStyle w:val="TableContents"/>
              <w:bidi w:val="0"/>
              <w:spacing w:before="0" w:after="283"/>
              <w:jc w:val="left"/>
              <w:rPr/>
            </w:pPr>
            <w:r>
              <w:rPr/>
              <w:t>A module is unavailable, or a build or release is broken, or data is at risk but not yet lost (N3, N4)</w:t>
            </w:r>
          </w:p>
        </w:tc>
        <w:tc>
          <w:tcPr>
            <w:tcW w:w="1112" w:type="dxa"/>
            <w:tcBorders/>
            <w:vAlign w:val="center"/>
          </w:tcPr>
          <w:p>
            <w:pPr>
              <w:pStyle w:val="TableContents"/>
              <w:bidi w:val="0"/>
              <w:spacing w:before="0" w:after="283"/>
              <w:jc w:val="left"/>
              <w:rPr/>
            </w:pPr>
            <w:r>
              <w:rPr/>
              <w:t>Contain and correct before the next release touching the area. Escalates to corrective action if it has occurred before, or if the cause is a class of defect rather than an instance</w:t>
            </w:r>
          </w:p>
        </w:tc>
        <w:tc>
          <w:tcPr>
            <w:tcW w:w="1683" w:type="dxa"/>
            <w:tcBorders/>
            <w:vAlign w:val="center"/>
          </w:tcPr>
          <w:p>
            <w:pPr>
              <w:pStyle w:val="TableContents"/>
              <w:bidi w:val="0"/>
              <w:spacing w:before="0" w:after="283"/>
              <w:jc w:val="left"/>
              <w:rPr/>
            </w:pPr>
            <w:r>
              <w:rPr/>
              <w:t>Full record as above</w:t>
            </w:r>
          </w:p>
        </w:tc>
      </w:tr>
      <w:tr>
        <w:trPr/>
        <w:tc>
          <w:tcPr>
            <w:tcW w:w="811" w:type="dxa"/>
            <w:tcBorders/>
            <w:vAlign w:val="center"/>
          </w:tcPr>
          <w:p>
            <w:pPr>
              <w:pStyle w:val="TableContents"/>
              <w:bidi w:val="0"/>
              <w:spacing w:before="0" w:after="283"/>
              <w:jc w:val="left"/>
              <w:rPr/>
            </w:pPr>
            <w:r>
              <w:rPr>
                <w:rStyle w:val="Strong"/>
              </w:rPr>
              <w:t>S3</w:t>
            </w:r>
          </w:p>
        </w:tc>
        <w:tc>
          <w:tcPr>
            <w:tcW w:w="1737" w:type="dxa"/>
            <w:tcBorders/>
            <w:vAlign w:val="center"/>
          </w:tcPr>
          <w:p>
            <w:pPr>
              <w:pStyle w:val="TableContents"/>
              <w:bidi w:val="0"/>
              <w:spacing w:before="0" w:after="283"/>
              <w:jc w:val="left"/>
              <w:rPr/>
            </w:pPr>
            <w:r>
              <w:rPr/>
              <w:t>Degraded behaviour: latency, quality regression short of fabrication, malformed output (N5)</w:t>
            </w:r>
          </w:p>
        </w:tc>
        <w:tc>
          <w:tcPr>
            <w:tcW w:w="1112" w:type="dxa"/>
            <w:tcBorders/>
            <w:vAlign w:val="center"/>
          </w:tcPr>
          <w:p>
            <w:pPr>
              <w:pStyle w:val="TableContents"/>
              <w:bidi w:val="0"/>
              <w:spacing w:before="0" w:after="283"/>
              <w:jc w:val="left"/>
              <w:rPr/>
            </w:pPr>
            <w:r>
              <w:rPr/>
              <w:t>Correct in normal work. Escalates to corrective action if it recurs after correction</w:t>
            </w:r>
          </w:p>
        </w:tc>
        <w:tc>
          <w:tcPr>
            <w:tcW w:w="1683" w:type="dxa"/>
            <w:tcBorders/>
            <w:vAlign w:val="center"/>
          </w:tcPr>
          <w:p>
            <w:pPr>
              <w:pStyle w:val="TableContents"/>
              <w:bidi w:val="0"/>
              <w:spacing w:before="0" w:after="283"/>
              <w:jc w:val="left"/>
              <w:rPr/>
            </w:pPr>
            <w:r>
              <w:rPr/>
              <w:t xml:space="preserve">Log entry in </w:t>
            </w:r>
            <w:r>
              <w:rPr>
                <w:rStyle w:val="SourceText"/>
              </w:rPr>
              <w:t>registers/REG-04</w:t>
            </w:r>
            <w:r>
              <w:rPr/>
              <w:t>; full record only if escalated</w:t>
            </w:r>
          </w:p>
        </w:tc>
      </w:tr>
      <w:tr>
        <w:trPr/>
        <w:tc>
          <w:tcPr>
            <w:tcW w:w="811" w:type="dxa"/>
            <w:tcBorders/>
            <w:vAlign w:val="center"/>
          </w:tcPr>
          <w:p>
            <w:pPr>
              <w:pStyle w:val="TableContents"/>
              <w:bidi w:val="0"/>
              <w:spacing w:before="0" w:after="283"/>
              <w:jc w:val="left"/>
              <w:rPr/>
            </w:pPr>
            <w:r>
              <w:rPr>
                <w:rStyle w:val="Strong"/>
              </w:rPr>
              <w:t>S4</w:t>
            </w:r>
          </w:p>
        </w:tc>
        <w:tc>
          <w:tcPr>
            <w:tcW w:w="1737" w:type="dxa"/>
            <w:tcBorders/>
            <w:vAlign w:val="center"/>
          </w:tcPr>
          <w:p>
            <w:pPr>
              <w:pStyle w:val="TableContents"/>
              <w:bidi w:val="0"/>
              <w:spacing w:before="0" w:after="283"/>
              <w:jc w:val="left"/>
              <w:rPr/>
            </w:pPr>
            <w:r>
              <w:rPr/>
              <w:t>Cosmetic or documentation-only, with no effect on the correctness of output (N6, minor)</w:t>
            </w:r>
          </w:p>
        </w:tc>
        <w:tc>
          <w:tcPr>
            <w:tcW w:w="1112" w:type="dxa"/>
            <w:tcBorders/>
            <w:vAlign w:val="center"/>
          </w:tcPr>
          <w:p>
            <w:pPr>
              <w:pStyle w:val="TableContents"/>
              <w:bidi w:val="0"/>
              <w:spacing w:before="0" w:after="283"/>
              <w:jc w:val="left"/>
              <w:rPr/>
            </w:pPr>
            <w:r>
              <w:rPr/>
              <w:t>Correct in normal work</w:t>
            </w:r>
          </w:p>
        </w:tc>
        <w:tc>
          <w:tcPr>
            <w:tcW w:w="1683" w:type="dxa"/>
            <w:tcBorders/>
            <w:vAlign w:val="center"/>
          </w:tcPr>
          <w:p>
            <w:pPr>
              <w:pStyle w:val="TableContents"/>
              <w:bidi w:val="0"/>
              <w:spacing w:before="0" w:after="283"/>
              <w:jc w:val="left"/>
              <w:rPr/>
            </w:pPr>
            <w:r>
              <w:rPr/>
              <w:t xml:space="preserve">Log entry in </w:t>
            </w:r>
            <w:r>
              <w:rPr>
                <w:rStyle w:val="SourceText"/>
              </w:rPr>
              <w:t>registers/REG-04</w:t>
            </w:r>
          </w:p>
        </w:tc>
      </w:tr>
    </w:tbl>
    <w:p>
      <w:pPr>
        <w:pStyle w:val="BodyText"/>
        <w:bidi w:val="0"/>
        <w:jc w:val="left"/>
        <w:rPr/>
      </w:pPr>
      <w:r>
        <w:rPr/>
        <w:t>An S1 may not be closed by correction alone. A nonconformity whose severity cannot be agreed is treated at the higher severity until evidence supports lowering it.</w:t>
      </w:r>
    </w:p>
    <w:p>
      <w:pPr>
        <w:pStyle w:val="Heading2"/>
        <w:bidi w:val="0"/>
        <w:jc w:val="left"/>
        <w:rPr/>
      </w:pPr>
      <w:r>
        <w:rPr/>
        <w:t>6. Detection channels</w:t>
      </w:r>
    </w:p>
    <w:p>
      <w:pPr>
        <w:pStyle w:val="BodyText"/>
        <w:bidi w:val="0"/>
        <w:jc w:val="left"/>
        <w:rPr/>
      </w:pPr>
      <w:r>
        <w:rPr/>
        <w:t>Every channel below exists today. What is recorded against each is what the channel actually produces, not what it could produce.</w:t>
      </w:r>
    </w:p>
    <w:tbl>
      <w:tblPr>
        <w:tblW w:w="5343" w:type="dxa"/>
        <w:jc w:val="left"/>
        <w:tblInd w:w="0" w:type="dxa"/>
        <w:tblLayout w:type="fixed"/>
        <w:tblCellMar>
          <w:top w:w="28" w:type="dxa"/>
          <w:left w:w="28" w:type="dxa"/>
          <w:bottom w:w="28" w:type="dxa"/>
          <w:right w:w="28" w:type="dxa"/>
        </w:tblCellMar>
      </w:tblPr>
      <w:tblGrid>
        <w:gridCol w:w="1441"/>
        <w:gridCol w:w="1801"/>
        <w:gridCol w:w="2101"/>
      </w:tblGrid>
      <w:tr>
        <w:trPr>
          <w:tblHeader w:val="true"/>
        </w:trPr>
        <w:tc>
          <w:tcPr>
            <w:tcW w:w="1441" w:type="dxa"/>
            <w:tcBorders/>
            <w:vAlign w:val="center"/>
          </w:tcPr>
          <w:p>
            <w:pPr>
              <w:pStyle w:val="TableHeading"/>
              <w:suppressLineNumbers/>
              <w:shd w:fill="1F3A5F" w:val="clear"/>
              <w:bidi w:val="0"/>
              <w:spacing w:before="0" w:after="283"/>
              <w:jc w:val="center"/>
              <w:rPr/>
            </w:pPr>
            <w:r>
              <w:rPr/>
              <w:t>Channel</w:t>
            </w:r>
          </w:p>
        </w:tc>
        <w:tc>
          <w:tcPr>
            <w:tcW w:w="1801" w:type="dxa"/>
            <w:tcBorders/>
            <w:vAlign w:val="center"/>
          </w:tcPr>
          <w:p>
            <w:pPr>
              <w:pStyle w:val="TableHeading"/>
              <w:suppressLineNumbers/>
              <w:shd w:fill="1F3A5F" w:val="clear"/>
              <w:bidi w:val="0"/>
              <w:spacing w:before="0" w:after="283"/>
              <w:jc w:val="center"/>
              <w:rPr/>
            </w:pPr>
            <w:r>
              <w:rPr/>
              <w:t>What it detects</w:t>
            </w:r>
          </w:p>
        </w:tc>
        <w:tc>
          <w:tcPr>
            <w:tcW w:w="2101" w:type="dxa"/>
            <w:tcBorders/>
            <w:vAlign w:val="center"/>
          </w:tcPr>
          <w:p>
            <w:pPr>
              <w:pStyle w:val="TableHeading"/>
              <w:suppressLineNumbers/>
              <w:shd w:fill="1F3A5F" w:val="clear"/>
              <w:bidi w:val="0"/>
              <w:spacing w:before="0" w:after="283"/>
              <w:jc w:val="center"/>
              <w:rPr/>
            </w:pPr>
            <w:r>
              <w:rPr/>
              <w:t>Evidence path</w:t>
            </w:r>
          </w:p>
        </w:tc>
      </w:tr>
      <w:tr>
        <w:trPr/>
        <w:tc>
          <w:tcPr>
            <w:tcW w:w="1441" w:type="dxa"/>
            <w:tcBorders/>
            <w:vAlign w:val="center"/>
          </w:tcPr>
          <w:p>
            <w:pPr>
              <w:pStyle w:val="TableContents"/>
              <w:bidi w:val="0"/>
              <w:spacing w:before="0" w:after="283"/>
              <w:jc w:val="left"/>
              <w:rPr/>
            </w:pPr>
            <w:r>
              <w:rPr/>
              <w:t>Golden-question evaluation</w:t>
            </w:r>
          </w:p>
        </w:tc>
        <w:tc>
          <w:tcPr>
            <w:tcW w:w="1801" w:type="dxa"/>
            <w:tcBorders/>
            <w:vAlign w:val="center"/>
          </w:tcPr>
          <w:p>
            <w:pPr>
              <w:pStyle w:val="TableContents"/>
              <w:bidi w:val="0"/>
              <w:spacing w:before="0" w:after="283"/>
              <w:jc w:val="left"/>
              <w:rPr/>
            </w:pPr>
            <w:r>
              <w:rPr/>
              <w:t>N1 and N2 regressions — a retrieval item that stops being answered, a refusal item that stops refusing, a routing item that starts citing</w:t>
            </w:r>
          </w:p>
        </w:tc>
        <w:tc>
          <w:tcPr>
            <w:tcW w:w="2101" w:type="dxa"/>
            <w:tcBorders/>
            <w:vAlign w:val="center"/>
          </w:tcPr>
          <w:p>
            <w:pPr>
              <w:pStyle w:val="TableContents"/>
              <w:bidi w:val="0"/>
              <w:spacing w:before="0" w:after="283"/>
              <w:jc w:val="left"/>
              <w:rPr/>
            </w:pPr>
            <w:r>
              <w:rPr>
                <w:rStyle w:val="SourceText"/>
              </w:rPr>
              <w:t>eval/run_eval.py</w:t>
            </w:r>
            <w:r>
              <w:rPr/>
              <w:t xml:space="preserve">; 52 items across seven sets in </w:t>
            </w:r>
            <w:r>
              <w:rPr>
                <w:rStyle w:val="SourceText"/>
              </w:rPr>
              <w:t>eval/golden/*.jsonl</w:t>
            </w:r>
            <w:r>
              <w:rPr/>
              <w:t xml:space="preserve">; binary gate at </w:t>
            </w:r>
            <w:r>
              <w:rPr>
                <w:rStyle w:val="SourceText"/>
              </w:rPr>
              <w:t>eval/run_eval.py:281</w:t>
            </w:r>
            <w:r>
              <w:rPr/>
              <w:t xml:space="preserve"> (</w:t>
            </w:r>
            <w:r>
              <w:rPr>
                <w:rStyle w:val="SourceText"/>
              </w:rPr>
              <w:t>return 0 if total_pass == len(results) else 1</w:t>
            </w:r>
            <w:r>
              <w:rPr/>
              <w:t>)</w:t>
            </w:r>
          </w:p>
        </w:tc>
      </w:tr>
      <w:tr>
        <w:trPr/>
        <w:tc>
          <w:tcPr>
            <w:tcW w:w="1441" w:type="dxa"/>
            <w:tcBorders/>
            <w:vAlign w:val="center"/>
          </w:tcPr>
          <w:p>
            <w:pPr>
              <w:pStyle w:val="TableContents"/>
              <w:bidi w:val="0"/>
              <w:spacing w:before="0" w:after="283"/>
              <w:jc w:val="left"/>
              <w:rPr/>
            </w:pPr>
            <w:r>
              <w:rPr/>
              <w:t>Paper harness</w:t>
            </w:r>
          </w:p>
        </w:tc>
        <w:tc>
          <w:tcPr>
            <w:tcW w:w="1801" w:type="dxa"/>
            <w:tcBorders/>
            <w:vAlign w:val="center"/>
          </w:tcPr>
          <w:p>
            <w:pPr>
              <w:pStyle w:val="TableContents"/>
              <w:bidi w:val="0"/>
              <w:spacing w:before="0" w:after="283"/>
              <w:jc w:val="left"/>
              <w:rPr/>
            </w:pPr>
            <w:r>
              <w:rPr/>
              <w:t>Grounding, isolation and injection-containment measurement at experiment scale</w:t>
            </w:r>
          </w:p>
        </w:tc>
        <w:tc>
          <w:tcPr>
            <w:tcW w:w="2101" w:type="dxa"/>
            <w:tcBorders/>
            <w:vAlign w:val="center"/>
          </w:tcPr>
          <w:p>
            <w:pPr>
              <w:pStyle w:val="TableContents"/>
              <w:bidi w:val="0"/>
              <w:spacing w:before="0" w:after="283"/>
              <w:jc w:val="left"/>
              <w:rPr/>
            </w:pPr>
            <w:r>
              <w:rPr>
                <w:rStyle w:val="SourceText"/>
              </w:rPr>
              <w:t>eval/paper/</w:t>
            </w:r>
            <w:r>
              <w:rPr/>
              <w:t xml:space="preserve">, results in </w:t>
            </w:r>
            <w:r>
              <w:rPr>
                <w:rStyle w:val="SourceText"/>
              </w:rPr>
              <w:t>eval/paper/results/</w:t>
            </w:r>
          </w:p>
        </w:tc>
      </w:tr>
      <w:tr>
        <w:trPr/>
        <w:tc>
          <w:tcPr>
            <w:tcW w:w="1441" w:type="dxa"/>
            <w:tcBorders/>
            <w:vAlign w:val="center"/>
          </w:tcPr>
          <w:p>
            <w:pPr>
              <w:pStyle w:val="TableContents"/>
              <w:bidi w:val="0"/>
              <w:spacing w:before="0" w:after="283"/>
              <w:jc w:val="left"/>
              <w:rPr/>
            </w:pPr>
            <w:r>
              <w:rPr/>
              <w:t>Unit tests</w:t>
            </w:r>
          </w:p>
        </w:tc>
        <w:tc>
          <w:tcPr>
            <w:tcW w:w="1801" w:type="dxa"/>
            <w:tcBorders/>
            <w:vAlign w:val="center"/>
          </w:tcPr>
          <w:p>
            <w:pPr>
              <w:pStyle w:val="TableContents"/>
              <w:bidi w:val="0"/>
              <w:spacing w:before="0" w:after="283"/>
              <w:jc w:val="left"/>
              <w:rPr/>
            </w:pPr>
            <w:r>
              <w:rPr/>
              <w:t>Prompt-guard and RAG behaviour regressions</w:t>
            </w:r>
          </w:p>
        </w:tc>
        <w:tc>
          <w:tcPr>
            <w:tcW w:w="2101" w:type="dxa"/>
            <w:tcBorders/>
            <w:vAlign w:val="center"/>
          </w:tcPr>
          <w:p>
            <w:pPr>
              <w:pStyle w:val="TableContents"/>
              <w:bidi w:val="0"/>
              <w:spacing w:before="0" w:after="283"/>
              <w:jc w:val="left"/>
              <w:rPr/>
            </w:pPr>
            <w:r>
              <w:rPr>
                <w:rStyle w:val="SourceText"/>
              </w:rPr>
              <w:t>backend/tests/</w:t>
            </w:r>
            <w:r>
              <w:rPr/>
              <w:t xml:space="preserve"> — 40 test functions across 7 files</w:t>
            </w:r>
          </w:p>
        </w:tc>
      </w:tr>
      <w:tr>
        <w:trPr/>
        <w:tc>
          <w:tcPr>
            <w:tcW w:w="1441" w:type="dxa"/>
            <w:tcBorders/>
            <w:vAlign w:val="center"/>
          </w:tcPr>
          <w:p>
            <w:pPr>
              <w:pStyle w:val="TableContents"/>
              <w:bidi w:val="0"/>
              <w:spacing w:before="0" w:after="283"/>
              <w:jc w:val="left"/>
              <w:rPr/>
            </w:pPr>
            <w:r>
              <w:rPr/>
              <w:t>Container healthchecks</w:t>
            </w:r>
          </w:p>
        </w:tc>
        <w:tc>
          <w:tcPr>
            <w:tcW w:w="1801" w:type="dxa"/>
            <w:tcBorders/>
            <w:vAlign w:val="center"/>
          </w:tcPr>
          <w:p>
            <w:pPr>
              <w:pStyle w:val="TableContents"/>
              <w:bidi w:val="0"/>
              <w:spacing w:before="0" w:after="283"/>
              <w:jc w:val="left"/>
              <w:rPr/>
            </w:pPr>
            <w:r>
              <w:rPr/>
              <w:t>N4 — fatal CUDA/STT fault, LLM server not serving, embedding model absent</w:t>
            </w:r>
          </w:p>
        </w:tc>
        <w:tc>
          <w:tcPr>
            <w:tcW w:w="2101" w:type="dxa"/>
            <w:tcBorders/>
            <w:vAlign w:val="center"/>
          </w:tcPr>
          <w:p>
            <w:pPr>
              <w:pStyle w:val="TableContents"/>
              <w:bidi w:val="0"/>
              <w:spacing w:before="0" w:after="283"/>
              <w:jc w:val="left"/>
              <w:rPr/>
            </w:pPr>
            <w:r>
              <w:rPr>
                <w:rStyle w:val="SourceText"/>
              </w:rPr>
              <w:t>backend/app/main.py:185-195</w:t>
            </w:r>
            <w:r>
              <w:rPr/>
              <w:t xml:space="preserve">; </w:t>
            </w:r>
            <w:r>
              <w:rPr>
                <w:rStyle w:val="SourceText"/>
              </w:rPr>
              <w:t>voice/app/server.py:74-82</w:t>
            </w:r>
            <w:r>
              <w:rPr/>
              <w:t xml:space="preserve">; </w:t>
            </w:r>
            <w:r>
              <w:rPr>
                <w:rStyle w:val="SourceText"/>
              </w:rPr>
              <w:t>docker-compose.yml</w:t>
            </w:r>
            <w:r>
              <w:rPr/>
              <w:t xml:space="preserve"> healthchecks for </w:t>
            </w:r>
            <w:r>
              <w:rPr>
                <w:rStyle w:val="SourceText"/>
              </w:rPr>
              <w:t>trtllm</w:t>
            </w:r>
            <w:r>
              <w:rPr/>
              <w:t xml:space="preserve"> and </w:t>
            </w:r>
            <w:r>
              <w:rPr>
                <w:rStyle w:val="SourceText"/>
              </w:rPr>
              <w:t>ollama</w:t>
            </w:r>
          </w:p>
        </w:tc>
      </w:tr>
      <w:tr>
        <w:trPr/>
        <w:tc>
          <w:tcPr>
            <w:tcW w:w="1441" w:type="dxa"/>
            <w:tcBorders/>
            <w:vAlign w:val="center"/>
          </w:tcPr>
          <w:p>
            <w:pPr>
              <w:pStyle w:val="TableContents"/>
              <w:bidi w:val="0"/>
              <w:spacing w:before="0" w:after="283"/>
              <w:jc w:val="left"/>
              <w:rPr/>
            </w:pPr>
            <w:r>
              <w:rPr/>
              <w:t>Front-end crash reporting</w:t>
            </w:r>
          </w:p>
        </w:tc>
        <w:tc>
          <w:tcPr>
            <w:tcW w:w="1801" w:type="dxa"/>
            <w:tcBorders/>
            <w:vAlign w:val="center"/>
          </w:tcPr>
          <w:p>
            <w:pPr>
              <w:pStyle w:val="TableContents"/>
              <w:bidi w:val="0"/>
              <w:spacing w:before="0" w:after="283"/>
              <w:jc w:val="left"/>
              <w:rPr/>
            </w:pPr>
            <w:r>
              <w:rPr/>
              <w:t>N4 in the browser</w:t>
            </w:r>
          </w:p>
        </w:tc>
        <w:tc>
          <w:tcPr>
            <w:tcW w:w="2101" w:type="dxa"/>
            <w:tcBorders/>
            <w:vAlign w:val="center"/>
          </w:tcPr>
          <w:p>
            <w:pPr>
              <w:pStyle w:val="TableContents"/>
              <w:bidi w:val="0"/>
              <w:spacing w:before="0" w:after="283"/>
              <w:jc w:val="left"/>
              <w:rPr/>
            </w:pPr>
            <w:r>
              <w:rPr>
                <w:rStyle w:val="SourceText"/>
              </w:rPr>
              <w:t>frontend/components/ErrorBoundary.tsx:27,36</w:t>
            </w:r>
            <w:r>
              <w:rPr/>
              <w:t xml:space="preserve"> posts to </w:t>
            </w:r>
            <w:r>
              <w:rPr>
                <w:rStyle w:val="SourceText"/>
              </w:rPr>
              <w:t>/api/client-error</w:t>
            </w:r>
            <w:r>
              <w:rPr/>
              <w:t xml:space="preserve">, logged at ERROR by </w:t>
            </w:r>
            <w:r>
              <w:rPr>
                <w:rStyle w:val="SourceText"/>
              </w:rPr>
              <w:t>backend/app/main.py:198-206</w:t>
            </w:r>
          </w:p>
        </w:tc>
      </w:tr>
      <w:tr>
        <w:trPr/>
        <w:tc>
          <w:tcPr>
            <w:tcW w:w="1441" w:type="dxa"/>
            <w:tcBorders/>
            <w:vAlign w:val="center"/>
          </w:tcPr>
          <w:p>
            <w:pPr>
              <w:pStyle w:val="TableContents"/>
              <w:bidi w:val="0"/>
              <w:spacing w:before="0" w:after="283"/>
              <w:jc w:val="left"/>
              <w:rPr/>
            </w:pPr>
            <w:r>
              <w:rPr/>
              <w:t>Error surfaced to the user over the transcription WebSocket</w:t>
            </w:r>
          </w:p>
        </w:tc>
        <w:tc>
          <w:tcPr>
            <w:tcW w:w="1801" w:type="dxa"/>
            <w:tcBorders/>
            <w:vAlign w:val="center"/>
          </w:tcPr>
          <w:p>
            <w:pPr>
              <w:pStyle w:val="TableContents"/>
              <w:bidi w:val="0"/>
              <w:spacing w:before="0" w:after="283"/>
              <w:jc w:val="left"/>
              <w:rPr/>
            </w:pPr>
            <w:r>
              <w:rPr/>
              <w:t>N3 and N4 during live transcription</w:t>
            </w:r>
          </w:p>
        </w:tc>
        <w:tc>
          <w:tcPr>
            <w:tcW w:w="2101" w:type="dxa"/>
            <w:tcBorders/>
            <w:vAlign w:val="center"/>
          </w:tcPr>
          <w:p>
            <w:pPr>
              <w:pStyle w:val="TableContents"/>
              <w:bidi w:val="0"/>
              <w:spacing w:before="0" w:after="283"/>
              <w:jc w:val="left"/>
              <w:rPr/>
            </w:pPr>
            <w:r>
              <w:rPr/>
              <w:t xml:space="preserve">14 </w:t>
            </w:r>
            <w:r>
              <w:rPr>
                <w:rStyle w:val="SourceText"/>
              </w:rPr>
              <w:t>{"type": "error"}</w:t>
            </w:r>
            <w:r>
              <w:rPr/>
              <w:t xml:space="preserve"> emission sites in </w:t>
            </w:r>
            <w:r>
              <w:rPr>
                <w:rStyle w:val="SourceText"/>
              </w:rPr>
              <w:t>backend/app/transcribe/ws.py</w:t>
            </w:r>
            <w:r>
              <w:rPr/>
              <w:t xml:space="preserve">, e.g. </w:t>
            </w:r>
            <w:r>
              <w:rPr>
                <w:rStyle w:val="SourceText"/>
              </w:rPr>
              <w:t>:1031</w:t>
            </w:r>
            <w:r>
              <w:rPr/>
              <w:t xml:space="preserve"> and </w:t>
            </w:r>
            <w:r>
              <w:rPr>
                <w:rStyle w:val="SourceText"/>
              </w:rPr>
              <w:t>:1069</w:t>
            </w:r>
          </w:p>
        </w:tc>
      </w:tr>
      <w:tr>
        <w:trPr/>
        <w:tc>
          <w:tcPr>
            <w:tcW w:w="1441" w:type="dxa"/>
            <w:tcBorders/>
            <w:vAlign w:val="center"/>
          </w:tcPr>
          <w:p>
            <w:pPr>
              <w:pStyle w:val="TableContents"/>
              <w:bidi w:val="0"/>
              <w:spacing w:before="0" w:after="283"/>
              <w:jc w:val="left"/>
              <w:rPr/>
            </w:pPr>
            <w:r>
              <w:rPr/>
              <w:t>Activity log</w:t>
            </w:r>
          </w:p>
        </w:tc>
        <w:tc>
          <w:tcPr>
            <w:tcW w:w="1801" w:type="dxa"/>
            <w:tcBorders/>
            <w:vAlign w:val="center"/>
          </w:tcPr>
          <w:p>
            <w:pPr>
              <w:pStyle w:val="TableContents"/>
              <w:bidi w:val="0"/>
              <w:spacing w:before="0" w:after="283"/>
              <w:jc w:val="left"/>
              <w:rPr/>
            </w:pPr>
            <w:r>
              <w:rPr/>
              <w:t>Anomalous request volume or a pattern of failing status codes</w:t>
            </w:r>
          </w:p>
        </w:tc>
        <w:tc>
          <w:tcPr>
            <w:tcW w:w="2101" w:type="dxa"/>
            <w:tcBorders/>
            <w:vAlign w:val="center"/>
          </w:tcPr>
          <w:p>
            <w:pPr>
              <w:pStyle w:val="TableContents"/>
              <w:bidi w:val="0"/>
              <w:spacing w:before="0" w:after="283"/>
              <w:jc w:val="left"/>
              <w:rPr/>
            </w:pPr>
            <w:r>
              <w:rPr>
                <w:rStyle w:val="SourceText"/>
              </w:rPr>
              <w:t>activity_log</w:t>
            </w:r>
            <w:r>
              <w:rPr/>
              <w:t xml:space="preserve"> table (</w:t>
            </w:r>
            <w:r>
              <w:rPr>
                <w:rStyle w:val="SourceText"/>
              </w:rPr>
              <w:t>backend/app/core/db.py:17</w:t>
            </w:r>
            <w:r>
              <w:rPr/>
              <w:t xml:space="preserve">), written by </w:t>
            </w:r>
            <w:r>
              <w:rPr>
                <w:rStyle w:val="SourceText"/>
              </w:rPr>
              <w:t>backend/app/main.py:154-163</w:t>
            </w:r>
            <w:r>
              <w:rPr/>
              <w:t xml:space="preserve">, read via </w:t>
            </w:r>
            <w:r>
              <w:rPr>
                <w:rStyle w:val="SourceText"/>
              </w:rPr>
              <w:t>backend/app/core/audit.py:25,36</w:t>
            </w:r>
          </w:p>
        </w:tc>
      </w:tr>
      <w:tr>
        <w:trPr/>
        <w:tc>
          <w:tcPr>
            <w:tcW w:w="1441" w:type="dxa"/>
            <w:tcBorders/>
            <w:vAlign w:val="center"/>
          </w:tcPr>
          <w:p>
            <w:pPr>
              <w:pStyle w:val="TableContents"/>
              <w:bidi w:val="0"/>
              <w:spacing w:before="0" w:after="283"/>
              <w:jc w:val="left"/>
              <w:rPr/>
            </w:pPr>
            <w:r>
              <w:rPr/>
              <w:t>User or customer report</w:t>
            </w:r>
          </w:p>
        </w:tc>
        <w:tc>
          <w:tcPr>
            <w:tcW w:w="1801" w:type="dxa"/>
            <w:tcBorders/>
            <w:vAlign w:val="center"/>
          </w:tcPr>
          <w:p>
            <w:pPr>
              <w:pStyle w:val="TableContents"/>
              <w:bidi w:val="0"/>
              <w:spacing w:before="0" w:after="283"/>
              <w:jc w:val="left"/>
              <w:rPr/>
            </w:pPr>
            <w:r>
              <w:rPr/>
              <w:t>Anything the above miss — in particular N1, which no automated channel catches in production</w:t>
            </w:r>
          </w:p>
        </w:tc>
        <w:tc>
          <w:tcPr>
            <w:tcW w:w="2101" w:type="dxa"/>
            <w:tcBorders/>
            <w:vAlign w:val="center"/>
          </w:tcPr>
          <w:p>
            <w:pPr>
              <w:pStyle w:val="TableContents"/>
              <w:bidi w:val="0"/>
              <w:spacing w:before="0" w:after="283"/>
              <w:jc w:val="left"/>
              <w:rPr/>
            </w:pPr>
            <w:r>
              <w:rPr/>
              <w:t>No in-product feedback channel exists (§11)</w:t>
            </w:r>
          </w:p>
        </w:tc>
      </w:tr>
      <w:tr>
        <w:trPr/>
        <w:tc>
          <w:tcPr>
            <w:tcW w:w="1441" w:type="dxa"/>
            <w:tcBorders/>
            <w:vAlign w:val="center"/>
          </w:tcPr>
          <w:p>
            <w:pPr>
              <w:pStyle w:val="TableContents"/>
              <w:bidi w:val="0"/>
              <w:spacing w:before="0" w:after="283"/>
              <w:jc w:val="left"/>
              <w:rPr/>
            </w:pPr>
            <w:r>
              <w:rPr/>
              <w:t>Own observation during development or deployment</w:t>
            </w:r>
          </w:p>
        </w:tc>
        <w:tc>
          <w:tcPr>
            <w:tcW w:w="1801" w:type="dxa"/>
            <w:tcBorders/>
            <w:vAlign w:val="center"/>
          </w:tcPr>
          <w:p>
            <w:pPr>
              <w:pStyle w:val="TableContents"/>
              <w:bidi w:val="0"/>
              <w:spacing w:before="0" w:after="283"/>
              <w:jc w:val="left"/>
              <w:rPr/>
            </w:pPr>
            <w:r>
              <w:rPr/>
              <w:t>Historically the largest source</w:t>
            </w:r>
          </w:p>
        </w:tc>
        <w:tc>
          <w:tcPr>
            <w:tcW w:w="2101" w:type="dxa"/>
            <w:tcBorders/>
            <w:vAlign w:val="center"/>
          </w:tcPr>
          <w:p>
            <w:pPr>
              <w:pStyle w:val="TableContents"/>
              <w:bidi w:val="0"/>
              <w:spacing w:before="0" w:after="283"/>
              <w:jc w:val="left"/>
              <w:rPr/>
            </w:pPr>
            <w:r>
              <w:rPr/>
              <w:t>Commit history; see the worked examples in §10</w:t>
            </w:r>
          </w:p>
        </w:tc>
      </w:tr>
    </w:tbl>
    <w:p>
      <w:pPr>
        <w:pStyle w:val="Heading2"/>
        <w:bidi w:val="0"/>
        <w:jc w:val="left"/>
        <w:rPr/>
      </w:pPr>
      <w:r>
        <w:rPr/>
        <w:t>7. Procedure</w:t>
      </w:r>
    </w:p>
    <w:p>
      <w:pPr>
        <w:pStyle w:val="BodyText"/>
        <w:numPr>
          <w:ilvl w:val="0"/>
          <w:numId w:val="1"/>
        </w:numPr>
        <w:tabs>
          <w:tab w:val="clear" w:pos="1134"/>
          <w:tab w:val="left" w:pos="709" w:leader="none"/>
        </w:tabs>
        <w:bidi w:val="0"/>
        <w:spacing w:before="0" w:after="0"/>
        <w:ind w:hanging="283" w:left="709"/>
        <w:jc w:val="left"/>
        <w:rPr/>
      </w:pPr>
      <w:r>
        <w:rPr>
          <w:rStyle w:val="Strong"/>
        </w:rPr>
        <w:t>Raise.</w:t>
      </w:r>
      <w:r>
        <w:rPr/>
        <w:t xml:space="preserve"> Whoever detects the nonconformity opens a record on </w:t>
      </w:r>
      <w:r>
        <w:rPr>
          <w:rStyle w:val="SourceText"/>
        </w:rPr>
        <w:t>forms/FRM-05_Nonconformity_and_CAPA_Record.md</w:t>
      </w:r>
      <w:r>
        <w:rPr/>
        <w:t xml:space="preserve"> and adds a line to </w:t>
      </w:r>
      <w:r>
        <w:rPr>
          <w:rStyle w:val="SourceText"/>
        </w:rPr>
        <w:t>registers/REG-04_Nonconformity_and_CAPA_Log.md</w:t>
      </w:r>
      <w:r>
        <w:rPr/>
        <w:t xml:space="preserve">. The record is opened </w:t>
      </w:r>
      <w:r>
        <w:rPr>
          <w:rStyle w:val="Emphasis"/>
        </w:rPr>
        <w:t>before</w:t>
      </w:r>
      <w:r>
        <w:rPr/>
        <w:t xml:space="preserve"> the fix, not written up afterwards from memory. The minimum at this point is: what was observed, where, when, and the class and severity from §4 and §5. </w:t>
      </w:r>
    </w:p>
    <w:p>
      <w:pPr>
        <w:pStyle w:val="BodyText"/>
        <w:numPr>
          <w:ilvl w:val="0"/>
          <w:numId w:val="1"/>
        </w:numPr>
        <w:tabs>
          <w:tab w:val="clear" w:pos="1134"/>
          <w:tab w:val="left" w:pos="709" w:leader="none"/>
        </w:tabs>
        <w:bidi w:val="0"/>
        <w:spacing w:before="0" w:after="0"/>
        <w:ind w:hanging="283" w:left="709"/>
        <w:jc w:val="left"/>
        <w:rPr/>
      </w:pPr>
      <w:r>
        <w:rPr>
          <w:rStyle w:val="Strong"/>
        </w:rPr>
        <w:t>Contain.</w:t>
      </w:r>
      <w:r>
        <w:rPr/>
        <w:t xml:space="preserve"> Stop the nonconforming output reaching anyone else. Containment is a distinct act from correction and is recorded separately — see §8.1. </w:t>
      </w:r>
    </w:p>
    <w:p>
      <w:pPr>
        <w:pStyle w:val="BodyText"/>
        <w:numPr>
          <w:ilvl w:val="0"/>
          <w:numId w:val="1"/>
        </w:numPr>
        <w:tabs>
          <w:tab w:val="clear" w:pos="1134"/>
          <w:tab w:val="left" w:pos="709" w:leader="none"/>
        </w:tabs>
        <w:bidi w:val="0"/>
        <w:spacing w:before="0" w:after="0"/>
        <w:ind w:hanging="283" w:left="709"/>
        <w:jc w:val="left"/>
        <w:rPr/>
      </w:pPr>
      <w:r>
        <w:rPr>
          <w:rStyle w:val="Strong"/>
        </w:rPr>
        <w:t>Determine the extent.</w:t>
      </w:r>
      <w:r>
        <w:rPr/>
        <w:t xml:space="preserve"> Establish how much output is affected, and since when. For N1 and N2 this means asking whether the defect is new or latent: a defect can be present for months and become observable only when a threshold is crossed. </w:t>
      </w:r>
    </w:p>
    <w:p>
      <w:pPr>
        <w:pStyle w:val="BodyText"/>
        <w:numPr>
          <w:ilvl w:val="0"/>
          <w:numId w:val="1"/>
        </w:numPr>
        <w:tabs>
          <w:tab w:val="clear" w:pos="1134"/>
          <w:tab w:val="left" w:pos="709" w:leader="none"/>
        </w:tabs>
        <w:bidi w:val="0"/>
        <w:spacing w:before="0" w:after="0"/>
        <w:ind w:hanging="283" w:left="709"/>
        <w:jc w:val="left"/>
        <w:rPr/>
      </w:pPr>
      <w:r>
        <w:rPr>
          <w:rStyle w:val="Strong"/>
        </w:rPr>
        <w:t>Correct.</w:t>
      </w:r>
      <w:r>
        <w:rPr/>
        <w:t xml:space="preserve"> Fix the defect. The commit is the correction record (</w:t>
      </w:r>
      <w:r>
        <w:rPr>
          <w:rStyle w:val="SourceText"/>
        </w:rPr>
        <w:t>SOP-01</w:t>
      </w:r>
      <w:r>
        <w:rPr/>
        <w:t xml:space="preserve"> §3) and must state the defect, the mechanism, the blast radius, the fix and the verification. </w:t>
      </w:r>
    </w:p>
    <w:p>
      <w:pPr>
        <w:pStyle w:val="BodyText"/>
        <w:numPr>
          <w:ilvl w:val="0"/>
          <w:numId w:val="1"/>
        </w:numPr>
        <w:tabs>
          <w:tab w:val="clear" w:pos="1134"/>
          <w:tab w:val="left" w:pos="709" w:leader="none"/>
        </w:tabs>
        <w:bidi w:val="0"/>
        <w:spacing w:before="0" w:after="0"/>
        <w:ind w:hanging="283" w:left="709"/>
        <w:jc w:val="left"/>
        <w:rPr/>
      </w:pPr>
      <w:r>
        <w:rPr>
          <w:rStyle w:val="Strong"/>
        </w:rPr>
        <w:t>Verify the correction.</w:t>
      </w:r>
      <w:r>
        <w:rPr/>
        <w:t xml:space="preserve"> Re-run the channel that detected it, plus the golden evaluation where retrieval, grounding or isolation is involved. Record the measured result, not the intent. </w:t>
      </w:r>
    </w:p>
    <w:p>
      <w:pPr>
        <w:pStyle w:val="BodyText"/>
        <w:numPr>
          <w:ilvl w:val="0"/>
          <w:numId w:val="1"/>
        </w:numPr>
        <w:tabs>
          <w:tab w:val="clear" w:pos="1134"/>
          <w:tab w:val="left" w:pos="709" w:leader="none"/>
        </w:tabs>
        <w:bidi w:val="0"/>
        <w:spacing w:before="0" w:after="0"/>
        <w:ind w:hanging="283" w:left="709"/>
        <w:jc w:val="left"/>
        <w:rPr/>
      </w:pPr>
      <w:r>
        <w:rPr>
          <w:rStyle w:val="Strong"/>
        </w:rPr>
        <w:t>Disposition.</w:t>
      </w:r>
      <w:r>
        <w:rPr/>
        <w:t xml:space="preserve"> Select and record one of the options in §8. </w:t>
      </w:r>
    </w:p>
    <w:p>
      <w:pPr>
        <w:pStyle w:val="BodyText"/>
        <w:numPr>
          <w:ilvl w:val="0"/>
          <w:numId w:val="1"/>
        </w:numPr>
        <w:tabs>
          <w:tab w:val="clear" w:pos="1134"/>
          <w:tab w:val="left" w:pos="709" w:leader="none"/>
        </w:tabs>
        <w:bidi w:val="0"/>
        <w:ind w:hanging="283" w:left="709"/>
        <w:jc w:val="left"/>
        <w:rPr/>
      </w:pPr>
      <w:r>
        <w:rPr>
          <w:rStyle w:val="Strong"/>
        </w:rPr>
        <w:t>Close or escalate.</w:t>
      </w:r>
      <w:r>
        <w:rPr/>
        <w:t xml:space="preserve"> Close under §9, or open a corrective action under </w:t>
      </w:r>
      <w:r>
        <w:rPr>
          <w:rStyle w:val="SourceText"/>
        </w:rPr>
        <w:t>SOP-14</w:t>
      </w:r>
      <w:r>
        <w:rPr/>
        <w:t xml:space="preserve">. </w:t>
      </w:r>
    </w:p>
    <w:p>
      <w:pPr>
        <w:pStyle w:val="Heading2"/>
        <w:bidi w:val="0"/>
        <w:jc w:val="left"/>
        <w:rPr/>
      </w:pPr>
      <w:r>
        <w:rPr/>
        <w:t>8. Disposition of nonconforming output (8.7.1)</w:t>
      </w:r>
    </w:p>
    <w:p>
      <w:pPr>
        <w:pStyle w:val="BodyText"/>
        <w:bidi w:val="0"/>
        <w:jc w:val="left"/>
        <w:rPr/>
      </w:pPr>
      <w:r>
        <w:rPr/>
        <w:t>ISO 9001:2015 8.7.1 requires that one or more of the following be applied. All four apply to this product; which applies depends on whether the output has already reached a user.</w:t>
      </w:r>
    </w:p>
    <w:p>
      <w:pPr>
        <w:pStyle w:val="Heading3"/>
        <w:bidi w:val="0"/>
        <w:jc w:val="left"/>
        <w:rPr/>
      </w:pPr>
      <w:r>
        <w:rPr/>
        <w:t>8.1 Correction</w:t>
      </w:r>
    </w:p>
    <w:p>
      <w:pPr>
        <w:pStyle w:val="BodyText"/>
        <w:bidi w:val="0"/>
        <w:jc w:val="left"/>
        <w:rPr/>
      </w:pPr>
      <w:r>
        <w:rPr/>
        <w:t xml:space="preserve">The default. The defect is fixed and the output regenerated. For a stored artefact already produced by a defective path — a transcript, a meeting report, a generated document — correction means the artefact is regenerated or withdrawn, not only that the code is fixed. </w:t>
      </w:r>
      <w:r>
        <w:rPr>
          <w:rStyle w:val="Strong"/>
        </w:rPr>
        <w:t>A code fix alone does not correct output already in the customer's hands.</w:t>
      </w:r>
    </w:p>
    <w:p>
      <w:pPr>
        <w:pStyle w:val="Heading3"/>
        <w:bidi w:val="0"/>
        <w:jc w:val="left"/>
        <w:rPr/>
      </w:pPr>
      <w:r>
        <w:rPr/>
        <w:t>8.2 Segregation, containment, return or suspension of provision</w:t>
      </w:r>
    </w:p>
    <w:p>
      <w:pPr>
        <w:pStyle w:val="BodyText"/>
        <w:bidi w:val="0"/>
        <w:jc w:val="left"/>
        <w:rPr/>
      </w:pPr>
      <w:r>
        <w:rPr/>
        <w:t>Withholding the affected capability until it is correct. In this platform containment is configuration, and the configuration points exist:</w:t>
      </w:r>
    </w:p>
    <w:tbl>
      <w:tblPr>
        <w:tblW w:w="5343" w:type="dxa"/>
        <w:jc w:val="left"/>
        <w:tblInd w:w="0" w:type="dxa"/>
        <w:tblLayout w:type="fixed"/>
        <w:tblCellMar>
          <w:top w:w="28" w:type="dxa"/>
          <w:left w:w="28" w:type="dxa"/>
          <w:bottom w:w="28" w:type="dxa"/>
          <w:right w:w="28" w:type="dxa"/>
        </w:tblCellMar>
      </w:tblPr>
      <w:tblGrid>
        <w:gridCol w:w="1762"/>
        <w:gridCol w:w="3581"/>
      </w:tblGrid>
      <w:tr>
        <w:trPr>
          <w:tblHeader w:val="true"/>
        </w:trPr>
        <w:tc>
          <w:tcPr>
            <w:tcW w:w="1762" w:type="dxa"/>
            <w:tcBorders/>
            <w:vAlign w:val="center"/>
          </w:tcPr>
          <w:p>
            <w:pPr>
              <w:pStyle w:val="TableHeading"/>
              <w:suppressLineNumbers/>
              <w:shd w:fill="1F3A5F" w:val="clear"/>
              <w:bidi w:val="0"/>
              <w:spacing w:before="0" w:after="283"/>
              <w:jc w:val="center"/>
              <w:rPr/>
            </w:pPr>
            <w:r>
              <w:rPr/>
              <w:t>Containment</w:t>
            </w:r>
          </w:p>
        </w:tc>
        <w:tc>
          <w:tcPr>
            <w:tcW w:w="3581" w:type="dxa"/>
            <w:tcBorders/>
            <w:vAlign w:val="center"/>
          </w:tcPr>
          <w:p>
            <w:pPr>
              <w:pStyle w:val="TableHeading"/>
              <w:suppressLineNumbers/>
              <w:shd w:fill="1F3A5F" w:val="clear"/>
              <w:bidi w:val="0"/>
              <w:spacing w:before="0" w:after="283"/>
              <w:jc w:val="center"/>
              <w:rPr/>
            </w:pPr>
            <w:r>
              <w:rPr/>
              <w:t>Mechanism</w:t>
            </w:r>
          </w:p>
        </w:tc>
      </w:tr>
      <w:tr>
        <w:trPr/>
        <w:tc>
          <w:tcPr>
            <w:tcW w:w="1762" w:type="dxa"/>
            <w:tcBorders/>
            <w:vAlign w:val="center"/>
          </w:tcPr>
          <w:p>
            <w:pPr>
              <w:pStyle w:val="TableContents"/>
              <w:bidi w:val="0"/>
              <w:spacing w:before="0" w:after="283"/>
              <w:jc w:val="left"/>
              <w:rPr/>
            </w:pPr>
            <w:r>
              <w:rPr/>
              <w:t>Disable a retrieval path or feature that is producing ungrounded output</w:t>
            </w:r>
          </w:p>
        </w:tc>
        <w:tc>
          <w:tcPr>
            <w:tcW w:w="3581" w:type="dxa"/>
            <w:tcBorders/>
            <w:vAlign w:val="center"/>
          </w:tcPr>
          <w:p>
            <w:pPr>
              <w:pStyle w:val="TableContents"/>
              <w:bidi w:val="0"/>
              <w:spacing w:before="0" w:after="283"/>
              <w:jc w:val="left"/>
              <w:rPr/>
            </w:pPr>
            <w:r>
              <w:rPr/>
              <w:t xml:space="preserve">Feature flags in </w:t>
            </w:r>
            <w:r>
              <w:rPr>
                <w:rStyle w:val="SourceText"/>
              </w:rPr>
              <w:t>backend/app/core/config.py</w:t>
            </w:r>
            <w:r>
              <w:rPr/>
              <w:t xml:space="preserve">; the pattern is commit </w:t>
            </w:r>
            <w:r>
              <w:rPr>
                <w:rStyle w:val="SourceText"/>
              </w:rPr>
              <w:t>2decb99</w:t>
            </w:r>
            <w:r>
              <w:rPr/>
              <w:t>, which gated BookRAG off by default because it measured worse</w:t>
            </w:r>
          </w:p>
        </w:tc>
      </w:tr>
      <w:tr>
        <w:trPr/>
        <w:tc>
          <w:tcPr>
            <w:tcW w:w="1762" w:type="dxa"/>
            <w:tcBorders/>
            <w:vAlign w:val="center"/>
          </w:tcPr>
          <w:p>
            <w:pPr>
              <w:pStyle w:val="TableContents"/>
              <w:bidi w:val="0"/>
              <w:spacing w:before="0" w:after="283"/>
              <w:jc w:val="left"/>
              <w:rPr/>
            </w:pPr>
            <w:r>
              <w:rPr/>
              <w:t>Take a deployment off the public internet</w:t>
            </w:r>
          </w:p>
        </w:tc>
        <w:tc>
          <w:tcPr>
            <w:tcW w:w="3581" w:type="dxa"/>
            <w:tcBorders/>
            <w:vAlign w:val="center"/>
          </w:tcPr>
          <w:p>
            <w:pPr>
              <w:pStyle w:val="TableContents"/>
              <w:bidi w:val="0"/>
              <w:spacing w:before="0" w:after="283"/>
              <w:jc w:val="left"/>
              <w:rPr/>
            </w:pPr>
            <w:r>
              <w:rPr/>
              <w:t xml:space="preserve">Stop the </w:t>
            </w:r>
            <w:r>
              <w:rPr>
                <w:rStyle w:val="SourceText"/>
              </w:rPr>
              <w:t>public</w:t>
            </w:r>
            <w:r>
              <w:rPr/>
              <w:t xml:space="preserve"> compose profile (</w:t>
            </w:r>
            <w:r>
              <w:rPr>
                <w:rStyle w:val="SourceText"/>
              </w:rPr>
              <w:t>docker-compose.yml:218-228</w:t>
            </w:r>
            <w:r>
              <w:rPr/>
              <w:t>) or disable the Cloudflare Access application (</w:t>
            </w:r>
            <w:r>
              <w:rPr>
                <w:rStyle w:val="SourceText"/>
              </w:rPr>
              <w:t>docs/PUBLIC_DEPLOYMENT.md</w:t>
            </w:r>
            <w:r>
              <w:rPr/>
              <w:t xml:space="preserve"> §"Rolling back")</w:t>
            </w:r>
          </w:p>
        </w:tc>
      </w:tr>
      <w:tr>
        <w:trPr/>
        <w:tc>
          <w:tcPr>
            <w:tcW w:w="1762" w:type="dxa"/>
            <w:tcBorders/>
            <w:vAlign w:val="center"/>
          </w:tcPr>
          <w:p>
            <w:pPr>
              <w:pStyle w:val="TableContents"/>
              <w:bidi w:val="0"/>
              <w:spacing w:before="0" w:after="283"/>
              <w:jc w:val="left"/>
              <w:rPr/>
            </w:pPr>
            <w:r>
              <w:rPr/>
              <w:t>Suspend a module</w:t>
            </w:r>
          </w:p>
        </w:tc>
        <w:tc>
          <w:tcPr>
            <w:tcW w:w="3581" w:type="dxa"/>
            <w:tcBorders/>
            <w:vAlign w:val="center"/>
          </w:tcPr>
          <w:p>
            <w:pPr>
              <w:pStyle w:val="TableContents"/>
              <w:bidi w:val="0"/>
              <w:spacing w:before="0" w:after="283"/>
              <w:jc w:val="left"/>
              <w:rPr/>
            </w:pPr>
            <w:r>
              <w:rPr/>
              <w:t>Stop the owning container; the frontend degrades rather than the whole stack failing</w:t>
            </w:r>
          </w:p>
        </w:tc>
      </w:tr>
      <w:tr>
        <w:trPr/>
        <w:tc>
          <w:tcPr>
            <w:tcW w:w="1762" w:type="dxa"/>
            <w:tcBorders/>
            <w:vAlign w:val="center"/>
          </w:tcPr>
          <w:p>
            <w:pPr>
              <w:pStyle w:val="TableContents"/>
              <w:bidi w:val="0"/>
              <w:spacing w:before="0" w:after="283"/>
              <w:jc w:val="left"/>
              <w:rPr/>
            </w:pPr>
            <w:r>
              <w:rPr/>
              <w:t>Withhold a release</w:t>
            </w:r>
          </w:p>
        </w:tc>
        <w:tc>
          <w:tcPr>
            <w:tcW w:w="3581" w:type="dxa"/>
            <w:tcBorders/>
            <w:vAlign w:val="center"/>
          </w:tcPr>
          <w:p>
            <w:pPr>
              <w:pStyle w:val="TableContents"/>
              <w:bidi w:val="0"/>
              <w:spacing w:before="0" w:after="283"/>
              <w:jc w:val="left"/>
              <w:rPr/>
            </w:pPr>
            <w:r>
              <w:rPr/>
              <w:t xml:space="preserve">The release is not tagged or distributed under </w:t>
            </w:r>
            <w:r>
              <w:rPr>
                <w:rStyle w:val="SourceText"/>
              </w:rPr>
              <w:t>SOP-08</w:t>
            </w:r>
          </w:p>
        </w:tc>
      </w:tr>
    </w:tbl>
    <w:p>
      <w:pPr>
        <w:pStyle w:val="Heading3"/>
        <w:bidi w:val="0"/>
        <w:jc w:val="left"/>
        <w:rPr/>
      </w:pPr>
      <w:r>
        <w:rPr/>
        <w:t>8.3 Informing the customer</w:t>
      </w:r>
    </w:p>
    <w:p>
      <w:pPr>
        <w:pStyle w:val="BodyText"/>
        <w:bidi w:val="0"/>
        <w:jc w:val="left"/>
        <w:rPr/>
      </w:pPr>
      <w:r>
        <w:rPr/>
        <w:t xml:space="preserve">Required where nonconforming output has already been delivered. For N1 and N2 the customer cannot detect the nonconformity themselves, so the obligation falls entirely on Ajace AI. The decision — including a decision </w:t>
      </w:r>
      <w:r>
        <w:rPr>
          <w:rStyle w:val="Emphasis"/>
        </w:rPr>
        <w:t>not</w:t>
      </w:r>
      <w:r>
        <w:rPr/>
        <w:t xml:space="preserve"> to inform, with its reason — is made by the Managing Director and recorded on the nonconformity record. There is no procedure for this today (§11).</w:t>
      </w:r>
    </w:p>
    <w:p>
      <w:pPr>
        <w:pStyle w:val="Heading3"/>
        <w:bidi w:val="0"/>
        <w:jc w:val="left"/>
        <w:rPr/>
      </w:pPr>
      <w:r>
        <w:rPr/>
        <w:t>8.4 Obtaining authorisation for acceptance under concession</w:t>
      </w:r>
    </w:p>
    <w:p>
      <w:pPr>
        <w:pStyle w:val="BodyText"/>
        <w:bidi w:val="0"/>
        <w:jc w:val="left"/>
        <w:rPr/>
      </w:pPr>
      <w:r>
        <w:rPr/>
        <w:t xml:space="preserve">Releasing or continuing to use output that is known to be nonconforming, because the alternative is worse. Permitted only with a dated written authorisation by the Managing Director on the nonconformity record, stating what is nonconforming, why acceptance is chosen, what the customer has been told, and the date by which it will be corrected. </w:t>
      </w:r>
      <w:r>
        <w:rPr>
          <w:rStyle w:val="Strong"/>
        </w:rPr>
        <w:t>An S1 arising from N1 or N2 may not be accepted under concession.</w:t>
      </w:r>
      <w:r>
        <w:rPr/>
        <w:t xml:space="preserve"> A customer whose data or answers are affected is told before, not after.</w:t>
      </w:r>
    </w:p>
    <w:p>
      <w:pPr>
        <w:pStyle w:val="Heading2"/>
        <w:bidi w:val="0"/>
        <w:jc w:val="left"/>
        <w:rPr/>
      </w:pPr>
      <w:r>
        <w:rPr/>
        <w:t>9. Records required by 8.7.2, and closure</w:t>
      </w:r>
    </w:p>
    <w:p>
      <w:pPr>
        <w:pStyle w:val="BodyText"/>
        <w:bidi w:val="0"/>
        <w:jc w:val="left"/>
        <w:rPr/>
      </w:pPr>
      <w:r>
        <w:rPr/>
        <w:t>Every nonconformity record carries, as a minimum:</w:t>
      </w:r>
    </w:p>
    <w:tbl>
      <w:tblPr>
        <w:tblW w:w="5343" w:type="dxa"/>
        <w:jc w:val="left"/>
        <w:tblInd w:w="0" w:type="dxa"/>
        <w:tblLayout w:type="fixed"/>
        <w:tblCellMar>
          <w:top w:w="28" w:type="dxa"/>
          <w:left w:w="28" w:type="dxa"/>
          <w:bottom w:w="28" w:type="dxa"/>
          <w:right w:w="28" w:type="dxa"/>
        </w:tblCellMar>
      </w:tblPr>
      <w:tblGrid>
        <w:gridCol w:w="2242"/>
        <w:gridCol w:w="3101"/>
      </w:tblGrid>
      <w:tr>
        <w:trPr>
          <w:tblHeader w:val="true"/>
        </w:trPr>
        <w:tc>
          <w:tcPr>
            <w:tcW w:w="2242" w:type="dxa"/>
            <w:tcBorders/>
            <w:vAlign w:val="center"/>
          </w:tcPr>
          <w:p>
            <w:pPr>
              <w:pStyle w:val="TableHeading"/>
              <w:suppressLineNumbers/>
              <w:shd w:fill="1F3A5F" w:val="clear"/>
              <w:bidi w:val="0"/>
              <w:spacing w:before="0" w:after="283"/>
              <w:jc w:val="center"/>
              <w:rPr/>
            </w:pPr>
            <w:r>
              <w:rPr/>
              <w:t>Required by 8.7.2</w:t>
            </w:r>
          </w:p>
        </w:tc>
        <w:tc>
          <w:tcPr>
            <w:tcW w:w="3101" w:type="dxa"/>
            <w:tcBorders/>
            <w:vAlign w:val="center"/>
          </w:tcPr>
          <w:p>
            <w:pPr>
              <w:pStyle w:val="TableHeading"/>
              <w:suppressLineNumbers/>
              <w:shd w:fill="1F3A5F" w:val="clear"/>
              <w:bidi w:val="0"/>
              <w:spacing w:before="0" w:after="283"/>
              <w:jc w:val="center"/>
              <w:rPr/>
            </w:pPr>
            <w:r>
              <w:rPr/>
              <w:t xml:space="preserve">Field on </w:t>
            </w:r>
            <w:r>
              <w:rPr>
                <w:rStyle w:val="SourceText"/>
              </w:rPr>
              <w:t>FRM-05</w:t>
            </w:r>
          </w:p>
        </w:tc>
      </w:tr>
      <w:tr>
        <w:trPr/>
        <w:tc>
          <w:tcPr>
            <w:tcW w:w="2242" w:type="dxa"/>
            <w:tcBorders/>
            <w:vAlign w:val="center"/>
          </w:tcPr>
          <w:p>
            <w:pPr>
              <w:pStyle w:val="TableContents"/>
              <w:bidi w:val="0"/>
              <w:spacing w:before="0" w:after="283"/>
              <w:jc w:val="left"/>
              <w:rPr/>
            </w:pPr>
            <w:r>
              <w:rPr/>
              <w:t>Description of the nonconformity</w:t>
            </w:r>
          </w:p>
        </w:tc>
        <w:tc>
          <w:tcPr>
            <w:tcW w:w="3101" w:type="dxa"/>
            <w:tcBorders/>
            <w:vAlign w:val="center"/>
          </w:tcPr>
          <w:p>
            <w:pPr>
              <w:pStyle w:val="TableContents"/>
              <w:bidi w:val="0"/>
              <w:spacing w:before="0" w:after="283"/>
              <w:jc w:val="left"/>
              <w:rPr/>
            </w:pPr>
            <w:r>
              <w:rPr/>
              <w:t>What was observed, where, and the class from §4</w:t>
            </w:r>
          </w:p>
        </w:tc>
      </w:tr>
      <w:tr>
        <w:trPr/>
        <w:tc>
          <w:tcPr>
            <w:tcW w:w="2242" w:type="dxa"/>
            <w:tcBorders/>
            <w:vAlign w:val="center"/>
          </w:tcPr>
          <w:p>
            <w:pPr>
              <w:pStyle w:val="TableContents"/>
              <w:bidi w:val="0"/>
              <w:spacing w:before="0" w:after="283"/>
              <w:jc w:val="left"/>
              <w:rPr/>
            </w:pPr>
            <w:r>
              <w:rPr/>
              <w:t>Description of the actions taken</w:t>
            </w:r>
          </w:p>
        </w:tc>
        <w:tc>
          <w:tcPr>
            <w:tcW w:w="3101" w:type="dxa"/>
            <w:tcBorders/>
            <w:vAlign w:val="center"/>
          </w:tcPr>
          <w:p>
            <w:pPr>
              <w:pStyle w:val="TableContents"/>
              <w:bidi w:val="0"/>
              <w:spacing w:before="0" w:after="283"/>
              <w:jc w:val="left"/>
              <w:rPr/>
            </w:pPr>
            <w:r>
              <w:rPr/>
              <w:t>Containment, correction, and the commit implementing it</w:t>
            </w:r>
          </w:p>
        </w:tc>
      </w:tr>
      <w:tr>
        <w:trPr/>
        <w:tc>
          <w:tcPr>
            <w:tcW w:w="2242" w:type="dxa"/>
            <w:tcBorders/>
            <w:vAlign w:val="center"/>
          </w:tcPr>
          <w:p>
            <w:pPr>
              <w:pStyle w:val="TableContents"/>
              <w:bidi w:val="0"/>
              <w:spacing w:before="0" w:after="283"/>
              <w:jc w:val="left"/>
              <w:rPr/>
            </w:pPr>
            <w:r>
              <w:rPr/>
              <w:t>Description of any concessions obtained</w:t>
            </w:r>
          </w:p>
        </w:tc>
        <w:tc>
          <w:tcPr>
            <w:tcW w:w="3101" w:type="dxa"/>
            <w:tcBorders/>
            <w:vAlign w:val="center"/>
          </w:tcPr>
          <w:p>
            <w:pPr>
              <w:pStyle w:val="TableContents"/>
              <w:bidi w:val="0"/>
              <w:spacing w:before="0" w:after="283"/>
              <w:jc w:val="left"/>
              <w:rPr/>
            </w:pPr>
            <w:r>
              <w:rPr/>
              <w:t>The authorisation text, the authorising role, the date</w:t>
            </w:r>
          </w:p>
        </w:tc>
      </w:tr>
      <w:tr>
        <w:trPr/>
        <w:tc>
          <w:tcPr>
            <w:tcW w:w="2242" w:type="dxa"/>
            <w:tcBorders/>
            <w:vAlign w:val="center"/>
          </w:tcPr>
          <w:p>
            <w:pPr>
              <w:pStyle w:val="TableContents"/>
              <w:bidi w:val="0"/>
              <w:spacing w:before="0" w:after="283"/>
              <w:jc w:val="left"/>
              <w:rPr/>
            </w:pPr>
            <w:r>
              <w:rPr/>
              <w:t>Identification of the authority deciding the action</w:t>
            </w:r>
          </w:p>
        </w:tc>
        <w:tc>
          <w:tcPr>
            <w:tcW w:w="3101" w:type="dxa"/>
            <w:tcBorders/>
            <w:vAlign w:val="center"/>
          </w:tcPr>
          <w:p>
            <w:pPr>
              <w:pStyle w:val="TableContents"/>
              <w:bidi w:val="0"/>
              <w:spacing w:before="0" w:after="283"/>
              <w:jc w:val="left"/>
              <w:rPr/>
            </w:pPr>
            <w:r>
              <w:rPr/>
              <w:t>Role, not a person's name, plus the commit or record that shows the decision</w:t>
            </w:r>
          </w:p>
        </w:tc>
      </w:tr>
    </w:tbl>
    <w:p>
      <w:pPr>
        <w:pStyle w:val="BodyText"/>
        <w:bidi w:val="0"/>
        <w:jc w:val="left"/>
        <w:rPr/>
      </w:pPr>
      <w:r>
        <w:rPr/>
        <w:t xml:space="preserve">Two further fields are required by this procedure because they are what makes the record usable: the </w:t>
      </w:r>
      <w:r>
        <w:rPr>
          <w:rStyle w:val="Strong"/>
        </w:rPr>
        <w:t>severity and its justification</w:t>
      </w:r>
      <w:r>
        <w:rPr/>
        <w:t xml:space="preserve">, and the </w:t>
      </w:r>
      <w:r>
        <w:rPr>
          <w:rStyle w:val="Strong"/>
        </w:rPr>
        <w:t>verification evidence</w:t>
      </w:r>
      <w:r>
        <w:rPr/>
        <w:t xml:space="preserve"> — a measurement taken after the correction, not a statement of belief.</w:t>
      </w:r>
    </w:p>
    <w:p>
      <w:pPr>
        <w:pStyle w:val="BodyText"/>
        <w:bidi w:val="0"/>
        <w:jc w:val="left"/>
        <w:rPr/>
      </w:pPr>
      <w:r>
        <w:rPr/>
        <w:t xml:space="preserve">A record is closed when correction is verified, the disposition is recorded, and either no corrective action is required or the corrective action has been opened under </w:t>
      </w:r>
      <w:r>
        <w:rPr>
          <w:rStyle w:val="SourceText"/>
        </w:rPr>
        <w:t>SOP-14</w:t>
      </w:r>
      <w:r>
        <w:rPr/>
        <w:t xml:space="preserve"> and cross-referenced. Closure is recorded in </w:t>
      </w:r>
      <w:r>
        <w:rPr>
          <w:rStyle w:val="SourceText"/>
        </w:rPr>
        <w:t>registers/REG-04_Nonconformity_and_CAPA_Log.md</w:t>
      </w:r>
      <w:r>
        <w:rPr/>
        <w:t>.</w:t>
      </w:r>
    </w:p>
    <w:p>
      <w:pPr>
        <w:pStyle w:val="BodyText"/>
        <w:bidi w:val="0"/>
        <w:jc w:val="left"/>
        <w:rPr/>
      </w:pPr>
      <w:r>
        <w:rPr>
          <w:rStyle w:val="Strong"/>
        </w:rPr>
        <w:t>Escalation to corrective action (10.2) is mandatory when any of the following is true:</w:t>
      </w:r>
    </w:p>
    <w:p>
      <w:pPr>
        <w:pStyle w:val="BodyText"/>
        <w:numPr>
          <w:ilvl w:val="0"/>
          <w:numId w:val="2"/>
        </w:numPr>
        <w:tabs>
          <w:tab w:val="clear" w:pos="1134"/>
          <w:tab w:val="left" w:pos="709" w:leader="none"/>
        </w:tabs>
        <w:bidi w:val="0"/>
        <w:spacing w:before="0" w:after="0"/>
        <w:ind w:hanging="283" w:left="709"/>
        <w:jc w:val="left"/>
        <w:rPr/>
      </w:pPr>
      <w:r>
        <w:rPr/>
        <w:t xml:space="preserve">severity is S1; </w:t>
      </w:r>
    </w:p>
    <w:p>
      <w:pPr>
        <w:pStyle w:val="BodyText"/>
        <w:numPr>
          <w:ilvl w:val="0"/>
          <w:numId w:val="2"/>
        </w:numPr>
        <w:tabs>
          <w:tab w:val="clear" w:pos="1134"/>
          <w:tab w:val="left" w:pos="709" w:leader="none"/>
        </w:tabs>
        <w:bidi w:val="0"/>
        <w:spacing w:before="0" w:after="0"/>
        <w:ind w:hanging="283" w:left="709"/>
        <w:jc w:val="left"/>
        <w:rPr/>
      </w:pPr>
      <w:r>
        <w:rPr/>
        <w:t xml:space="preserve">the nonconformity has occurred before, in any form; </w:t>
      </w:r>
    </w:p>
    <w:p>
      <w:pPr>
        <w:pStyle w:val="BodyText"/>
        <w:numPr>
          <w:ilvl w:val="0"/>
          <w:numId w:val="2"/>
        </w:numPr>
        <w:tabs>
          <w:tab w:val="clear" w:pos="1134"/>
          <w:tab w:val="left" w:pos="709" w:leader="none"/>
        </w:tabs>
        <w:bidi w:val="0"/>
        <w:spacing w:before="0" w:after="0"/>
        <w:ind w:hanging="283" w:left="709"/>
        <w:jc w:val="left"/>
        <w:rPr/>
      </w:pPr>
      <w:r>
        <w:rPr/>
        <w:t xml:space="preserve">the cause is a class of defect rather than a single instance — that is, the same mistake is possible elsewhere in the codebase and nothing prevents it; </w:t>
      </w:r>
    </w:p>
    <w:p>
      <w:pPr>
        <w:pStyle w:val="BodyText"/>
        <w:numPr>
          <w:ilvl w:val="0"/>
          <w:numId w:val="2"/>
        </w:numPr>
        <w:tabs>
          <w:tab w:val="clear" w:pos="1134"/>
          <w:tab w:val="left" w:pos="709" w:leader="none"/>
        </w:tabs>
        <w:bidi w:val="0"/>
        <w:spacing w:before="0" w:after="0"/>
        <w:ind w:hanging="283" w:left="709"/>
        <w:jc w:val="left"/>
        <w:rPr/>
      </w:pPr>
      <w:r>
        <w:rPr/>
        <w:t xml:space="preserve">the nonconformity was latent and became observable only because conditions changed; </w:t>
      </w:r>
    </w:p>
    <w:p>
      <w:pPr>
        <w:pStyle w:val="BodyText"/>
        <w:numPr>
          <w:ilvl w:val="0"/>
          <w:numId w:val="2"/>
        </w:numPr>
        <w:tabs>
          <w:tab w:val="clear" w:pos="1134"/>
          <w:tab w:val="left" w:pos="709" w:leader="none"/>
        </w:tabs>
        <w:bidi w:val="0"/>
        <w:ind w:hanging="283" w:left="709"/>
        <w:jc w:val="left"/>
        <w:rPr/>
      </w:pPr>
      <w:r>
        <w:rPr/>
        <w:t xml:space="preserve">a control that was believed to be in place turned out not to be working. </w:t>
      </w:r>
    </w:p>
    <w:p>
      <w:pPr>
        <w:pStyle w:val="BodyText"/>
        <w:bidi w:val="0"/>
        <w:jc w:val="left"/>
        <w:rPr/>
      </w:pPr>
      <w:r>
        <w:rPr/>
        <w:t>The last two criteria come directly from this organisation's own history (§10) and are the reason they are written down.</w:t>
      </w:r>
    </w:p>
    <w:p>
      <w:pPr>
        <w:pStyle w:val="Heading2"/>
        <w:bidi w:val="0"/>
        <w:jc w:val="left"/>
        <w:rPr/>
      </w:pPr>
      <w:r>
        <w:rPr/>
        <w:t>10. Worked examples from the evidenced record</w:t>
      </w:r>
    </w:p>
    <w:p>
      <w:pPr>
        <w:pStyle w:val="BodyText"/>
        <w:bidi w:val="0"/>
        <w:jc w:val="left"/>
        <w:rPr/>
      </w:pPr>
      <w:r>
        <w:rPr/>
        <w:t xml:space="preserve">The following are real, already-recorded defects. They are reproduced here as the standard a nonconformity record must meet — nothing below is invented, and each is traceable to a commit. They predate this QMS and were therefore never recorded on </w:t>
      </w:r>
      <w:r>
        <w:rPr>
          <w:rStyle w:val="SourceText"/>
        </w:rPr>
        <w:t>FRM-05</w:t>
      </w:r>
      <w:r>
        <w:rPr/>
        <w:t xml:space="preserve">; recording them retrospectively is part of seeding </w:t>
      </w:r>
      <w:r>
        <w:rPr>
          <w:rStyle w:val="SourceText"/>
        </w:rPr>
        <w:t>registers/REG-04</w:t>
      </w:r>
      <w:r>
        <w:rPr/>
        <w:t>.</w:t>
      </w:r>
    </w:p>
    <w:p>
      <w:pPr>
        <w:pStyle w:val="BodyText"/>
        <w:bidi w:val="0"/>
        <w:jc w:val="left"/>
        <w:rPr/>
      </w:pPr>
      <w:r>
        <w:rPr>
          <w:rStyle w:val="Strong"/>
        </w:rPr>
        <w:t xml:space="preserve">Example A — </w:t>
      </w:r>
      <w:r>
        <w:rPr>
          <w:rStyle w:val="SourceText"/>
        </w:rPr>
        <w:t>4e27109</w:t>
      </w:r>
      <w:r>
        <w:rPr>
          <w:rStyle w:val="Strong"/>
        </w:rPr>
        <w:t xml:space="preserve"> (2026-08-07), class N2, severity S1: tenant-isolation breach.</w:t>
      </w:r>
      <w:r>
        <w:rPr/>
        <w:t xml:space="preserve"> </w:t>
      </w:r>
      <w:r>
        <w:rPr>
          <w:rStyle w:val="SourceText"/>
        </w:rPr>
        <w:t>backend/app/rag/advanced.py</w:t>
      </w:r>
      <w:r>
        <w:rPr/>
        <w:t xml:space="preserve"> called </w:t>
      </w:r>
      <w:r>
        <w:rPr>
          <w:rStyle w:val="SourceText"/>
        </w:rPr>
        <w:t>Bm25Index.search</w:t>
      </w:r>
      <w:r>
        <w:rPr/>
        <w:t xml:space="preserve"> directly on the sparse transcript path, bypassing the </w:t>
      </w:r>
      <w:r>
        <w:rPr>
          <w:rStyle w:val="SourceText"/>
        </w:rPr>
        <w:t>_ns_ok</w:t>
      </w:r>
      <w:r>
        <w:rPr/>
        <w:t xml:space="preserve"> namespace predicate (</w:t>
      </w:r>
      <w:r>
        <w:rPr>
          <w:rStyle w:val="SourceText"/>
        </w:rPr>
        <w:t>backend/app/rag/index.py:37-40</w:t>
      </w:r>
      <w:r>
        <w:rPr/>
        <w:t xml:space="preserve">) that every other retrieval path applied. Under a tenant-scoped query the path returned 10 out of 10 out-of-namespace chunks, which outranked in-namespace documents and silently zeroed citations. Extent: the golden evaluation fell from 50/52 to 42/52 as the corpus grew. Correction: a </w:t>
      </w:r>
      <w:r>
        <w:rPr>
          <w:rStyle w:val="SourceText"/>
        </w:rPr>
        <w:t>search_transcript_only_sparse()</w:t>
      </w:r>
      <w:r>
        <w:rPr/>
        <w:t xml:space="preserve"> wrapper that enforces the predicate (</w:t>
      </w:r>
      <w:r>
        <w:rPr>
          <w:rStyle w:val="SourceText"/>
        </w:rPr>
        <w:t>backend/app/rag/index.py:925</w:t>
      </w:r>
      <w:r>
        <w:rPr/>
        <w:t>), plus candidate-pool scaling with corpus size (</w:t>
      </w:r>
      <w:r>
        <w:rPr>
          <w:rStyle w:val="SourceText"/>
        </w:rPr>
        <w:t>backend/app/rag/index.py:44-57</w:t>
      </w:r>
      <w:r>
        <w:rPr/>
        <w:t>). Verification: 0 out-of-namespace hits across 359 checks on all five retrieval paths; golden evaluation 49/52. This is the model record: defect, mechanism, extent, fix, measured verification.</w:t>
      </w:r>
    </w:p>
    <w:p>
      <w:pPr>
        <w:pStyle w:val="BodyText"/>
        <w:bidi w:val="0"/>
        <w:jc w:val="left"/>
        <w:rPr/>
      </w:pPr>
      <w:r>
        <w:rPr>
          <w:rStyle w:val="Strong"/>
        </w:rPr>
        <w:t xml:space="preserve">Example B — </w:t>
      </w:r>
      <w:r>
        <w:rPr>
          <w:rStyle w:val="SourceText"/>
        </w:rPr>
        <w:t>558eaae</w:t>
      </w:r>
      <w:r>
        <w:rPr>
          <w:rStyle w:val="Strong"/>
        </w:rPr>
        <w:t xml:space="preserve"> (2026-07-29), class N3, severity S2: silent audio failure.</w:t>
      </w:r>
      <w:r>
        <w:rPr/>
        <w:t xml:space="preserve"> </w:t>
      </w:r>
      <w:r>
        <w:rPr>
          <w:rStyle w:val="SourceText"/>
        </w:rPr>
        <w:t>/api/transcribe/speak</w:t>
      </w:r>
      <w:r>
        <w:rPr/>
        <w:t xml:space="preserve"> defaulted to </w:t>
      </w:r>
      <w:r>
        <w:rPr>
          <w:rStyle w:val="SourceText"/>
        </w:rPr>
        <w:t>voice:8002</w:t>
      </w:r>
      <w:r>
        <w:rPr/>
        <w:t xml:space="preserve"> — a host port, not the container port. Every call hit "Connection refused", the exception was swallowed at debug level, and the endpoint returned </w:t>
      </w:r>
      <w:r>
        <w:rPr>
          <w:rStyle w:val="SourceText"/>
        </w:rPr>
        <w:t>{"audio_b64": null}</w:t>
      </w:r>
      <w:r>
        <w:rPr/>
        <w:t xml:space="preserve"> with a 2xx status and nothing in the logs. Correction: the correct default plus a configurable </w:t>
      </w:r>
      <w:r>
        <w:rPr>
          <w:rStyle w:val="SourceText"/>
        </w:rPr>
        <w:t>VOICE_TTS_URL</w:t>
      </w:r>
      <w:r>
        <w:rPr/>
        <w:t>; an empty 2xx now treated as a failure; the fallback logged at WARNING rather than DEBUG; timeout raised from 15 s to 30 s. Verification: three real WAV outputs. This is the canonical N3 — nothing detected it, because nothing could.</w:t>
      </w:r>
    </w:p>
    <w:p>
      <w:pPr>
        <w:pStyle w:val="BodyText"/>
        <w:bidi w:val="0"/>
        <w:jc w:val="left"/>
        <w:rPr/>
      </w:pPr>
      <w:r>
        <w:rPr>
          <w:rStyle w:val="Strong"/>
        </w:rPr>
        <w:t xml:space="preserve">Example C — </w:t>
      </w:r>
      <w:r>
        <w:rPr>
          <w:rStyle w:val="SourceText"/>
        </w:rPr>
        <w:t>724fb98</w:t>
      </w:r>
      <w:r>
        <w:rPr>
          <w:rStyle w:val="Strong"/>
        </w:rPr>
        <w:t xml:space="preserve"> (2026-09-04), class N4, severity S2: three breakages on a clean rebuild.</w:t>
      </w:r>
      <w:r>
        <w:rPr/>
        <w:t xml:space="preserve"> A Python heredoc inside a </w:t>
      </w:r>
      <w:r>
        <w:rPr>
          <w:rStyle w:val="SourceText"/>
        </w:rPr>
        <w:t>RUN ... \</w:t>
      </w:r>
      <w:r>
        <w:rPr/>
        <w:t xml:space="preserve"> continuation broke </w:t>
      </w:r>
      <w:r>
        <w:rPr>
          <w:rStyle w:val="SourceText"/>
        </w:rPr>
        <w:t>docker compose build voice</w:t>
      </w:r>
      <w:r>
        <w:rPr/>
        <w:t xml:space="preserve">; NeMo installed from </w:t>
      </w:r>
      <w:r>
        <w:rPr>
          <w:rStyle w:val="SourceText"/>
        </w:rPr>
        <w:t>@main</w:t>
      </w:r>
      <w:r>
        <w:rPr/>
        <w:t xml:space="preserve"> pulled </w:t>
      </w:r>
      <w:r>
        <w:rPr>
          <w:rStyle w:val="SourceText"/>
        </w:rPr>
        <w:t>setuptools&gt;=82</w:t>
      </w:r>
      <w:r>
        <w:rPr/>
        <w:t xml:space="preserve">, removing </w:t>
      </w:r>
      <w:r>
        <w:rPr>
          <w:rStyle w:val="SourceText"/>
        </w:rPr>
        <w:t>pkg_resources</w:t>
      </w:r>
      <w:r>
        <w:rPr/>
        <w:t xml:space="preserve"> and breaking </w:t>
      </w:r>
      <w:r>
        <w:rPr>
          <w:rStyle w:val="SourceText"/>
        </w:rPr>
        <w:t>librosa</w:t>
      </w:r>
      <w:r>
        <w:rPr/>
        <w:t xml:space="preserve"> at build time and </w:t>
      </w:r>
      <w:r>
        <w:rPr>
          <w:rStyle w:val="SourceText"/>
        </w:rPr>
        <w:t>webrtcvad</w:t>
      </w:r>
      <w:r>
        <w:rPr/>
        <w:t xml:space="preserve"> at runtime; and the boardroom module stored raw JSON as the executive summary when the LLM report JSON was truncated. Verification was a from-scratch rebuild: all six containers healthy, chat, Silent Assistant, voice and boardroom passing, volumes preserved. The mitigation for the dependency drift is pinned in place with its reason at </w:t>
      </w:r>
      <w:r>
        <w:rPr>
          <w:rStyle w:val="SourceText"/>
        </w:rPr>
        <w:t>backend/Dockerfile:32-33</w:t>
      </w:r>
      <w:r>
        <w:rPr/>
        <w:t>.</w:t>
      </w:r>
    </w:p>
    <w:p>
      <w:pPr>
        <w:pStyle w:val="BodyText"/>
        <w:bidi w:val="0"/>
        <w:jc w:val="left"/>
        <w:rPr/>
      </w:pPr>
      <w:r>
        <w:rPr>
          <w:rStyle w:val="Strong"/>
        </w:rPr>
        <w:t xml:space="preserve">Example D — </w:t>
      </w:r>
      <w:r>
        <w:rPr>
          <w:rStyle w:val="SourceText"/>
        </w:rPr>
        <w:t>73f0b4f</w:t>
      </w:r>
      <w:r>
        <w:rPr>
          <w:rStyle w:val="Strong"/>
        </w:rPr>
        <w:t xml:space="preserve"> (2026-07-29): a control that was not working.</w:t>
      </w:r>
      <w:r>
        <w:rPr/>
        <w:t xml:space="preserve"> The voice WebSocket authentication gate was silently non-functional because </w:t>
      </w:r>
      <w:r>
        <w:rPr>
          <w:rStyle w:val="SourceText"/>
        </w:rPr>
        <w:t>AUTH_SECRET</w:t>
      </w:r>
      <w:r>
        <w:rPr/>
        <w:t xml:space="preserve"> was passed where </w:t>
      </w:r>
      <w:r>
        <w:rPr>
          <w:rStyle w:val="SourceText"/>
        </w:rPr>
        <w:t>VOICE_AUTH_SECRET</w:t>
      </w:r>
      <w:r>
        <w:rPr/>
        <w:t xml:space="preserve"> was expected (</w:t>
      </w:r>
      <w:r>
        <w:rPr>
          <w:rStyle w:val="SourceText"/>
        </w:rPr>
        <w:t>docker-compose.yml:143-146</w:t>
      </w:r>
      <w:r>
        <w:rPr/>
        <w:t>). A control believed to be in place was not. This class always escalates under §9.</w:t>
      </w:r>
    </w:p>
    <w:p>
      <w:pPr>
        <w:pStyle w:val="BodyText"/>
        <w:bidi w:val="0"/>
        <w:jc w:val="left"/>
        <w:rPr/>
      </w:pPr>
      <w:r>
        <w:rPr>
          <w:rStyle w:val="Strong"/>
        </w:rPr>
        <w:t xml:space="preserve">Example E — </w:t>
      </w:r>
      <w:r>
        <w:rPr>
          <w:rStyle w:val="SourceText"/>
        </w:rPr>
        <w:t>eval/paper/results/REGRESSION_AND_FIXES.json</w:t>
      </w:r>
      <w:r>
        <w:rPr>
          <w:rStyle w:val="Strong"/>
        </w:rPr>
        <w:t>: the nearest existing thing to a nonconformity record.</w:t>
      </w:r>
      <w:r>
        <w:rPr/>
        <w:t xml:space="preserve"> It is structured as baseline → regression → root cause → fixes → non-regression evidence, and states that the defect was "PRE-EXISTING and latent; it became observable only when the corpus grew from 10.3k to 17.6k chunks". That sentence is why latency of detection, not only date of detection, is a field on </w:t>
      </w:r>
      <w:r>
        <w:rPr>
          <w:rStyle w:val="SourceText"/>
        </w:rPr>
        <w:t>FRM-05</w:t>
      </w:r>
      <w:r>
        <w:rPr/>
        <w:t>.</w:t>
      </w:r>
    </w:p>
    <w:p>
      <w:pPr>
        <w:pStyle w:val="BodyText"/>
        <w:bidi w:val="0"/>
        <w:jc w:val="left"/>
        <w:rPr/>
      </w:pPr>
      <w:r>
        <w:rPr>
          <w:rStyle w:val="Strong"/>
        </w:rPr>
        <w:t>Example F — honest negative reporting.</w:t>
      </w:r>
      <w:r>
        <w:rPr/>
        <w:t xml:space="preserve"> </w:t>
      </w:r>
      <w:r>
        <w:rPr>
          <w:rStyle w:val="SourceText"/>
        </w:rPr>
        <w:t>eval/paper/results/SUMMARY.json</w:t>
      </w:r>
      <w:r>
        <w:rPr/>
        <w:t xml:space="preserve"> records measurements that contradict the organisation's own published paper: E1 </w:t>
      </w:r>
      <w:r>
        <w:rPr>
          <w:rStyle w:val="SourceText"/>
        </w:rPr>
        <w:t>"contradicts_paper": "YES"</w:t>
      </w:r>
      <w:r>
        <w:rPr/>
        <w:t xml:space="preserve">; E4 containment real but silent, with </w:t>
      </w:r>
      <w:r>
        <w:rPr>
          <w:rStyle w:val="SourceText"/>
        </w:rPr>
        <w:t>report_rate</w:t>
      </w:r>
      <w:r>
        <w:rPr/>
        <w:t xml:space="preserve"> 0.000 in every arm; E3 the timing channel not closed; E2 recorded as </w:t>
      </w:r>
      <w:r>
        <w:rPr>
          <w:rStyle w:val="SourceText"/>
        </w:rPr>
        <w:t>"not_run"</w:t>
      </w:r>
      <w:r>
        <w:rPr/>
        <w:t xml:space="preserve"> with the reason given rather than omitted. An auditor should read this as evidence of a culture of honest measurement: adverse findings about the organisation's own claims are recorded in the organisation's own artefacts.</w:t>
      </w:r>
    </w:p>
    <w:p>
      <w:pPr>
        <w:pStyle w:val="Heading2"/>
        <w:bidi w:val="0"/>
        <w:jc w:val="left"/>
        <w:rPr/>
      </w:pPr>
      <w:r>
        <w:rPr/>
        <w:t>11. Records</w:t>
      </w:r>
    </w:p>
    <w:tbl>
      <w:tblPr>
        <w:tblW w:w="5343" w:type="dxa"/>
        <w:jc w:val="left"/>
        <w:tblInd w:w="0" w:type="dxa"/>
        <w:tblLayout w:type="fixed"/>
        <w:tblCellMar>
          <w:top w:w="28" w:type="dxa"/>
          <w:left w:w="28" w:type="dxa"/>
          <w:bottom w:w="28" w:type="dxa"/>
          <w:right w:w="28" w:type="dxa"/>
        </w:tblCellMar>
      </w:tblPr>
      <w:tblGrid>
        <w:gridCol w:w="1783"/>
        <w:gridCol w:w="2327"/>
        <w:gridCol w:w="1233"/>
      </w:tblGrid>
      <w:tr>
        <w:trPr>
          <w:tblHeader w:val="true"/>
        </w:trPr>
        <w:tc>
          <w:tcPr>
            <w:tcW w:w="1783" w:type="dxa"/>
            <w:tcBorders/>
            <w:vAlign w:val="center"/>
          </w:tcPr>
          <w:p>
            <w:pPr>
              <w:pStyle w:val="TableHeading"/>
              <w:suppressLineNumbers/>
              <w:shd w:fill="1F3A5F" w:val="clear"/>
              <w:bidi w:val="0"/>
              <w:spacing w:before="0" w:after="283"/>
              <w:jc w:val="center"/>
              <w:rPr/>
            </w:pPr>
            <w:r>
              <w:rPr/>
              <w:t>Record</w:t>
            </w:r>
          </w:p>
        </w:tc>
        <w:tc>
          <w:tcPr>
            <w:tcW w:w="2327" w:type="dxa"/>
            <w:tcBorders/>
            <w:vAlign w:val="center"/>
          </w:tcPr>
          <w:p>
            <w:pPr>
              <w:pStyle w:val="TableHeading"/>
              <w:suppressLineNumbers/>
              <w:shd w:fill="1F3A5F" w:val="clear"/>
              <w:bidi w:val="0"/>
              <w:spacing w:before="0" w:after="283"/>
              <w:jc w:val="center"/>
              <w:rPr/>
            </w:pPr>
            <w:r>
              <w:rPr/>
              <w:t>Location</w:t>
            </w:r>
          </w:p>
        </w:tc>
        <w:tc>
          <w:tcPr>
            <w:tcW w:w="1233" w:type="dxa"/>
            <w:tcBorders/>
            <w:vAlign w:val="center"/>
          </w:tcPr>
          <w:p>
            <w:pPr>
              <w:pStyle w:val="TableHeading"/>
              <w:suppressLineNumbers/>
              <w:shd w:fill="1F3A5F" w:val="clear"/>
              <w:bidi w:val="0"/>
              <w:spacing w:before="0" w:after="283"/>
              <w:jc w:val="center"/>
              <w:rPr/>
            </w:pPr>
            <w:r>
              <w:rPr/>
              <w:t>Retention</w:t>
            </w:r>
          </w:p>
        </w:tc>
      </w:tr>
      <w:tr>
        <w:trPr/>
        <w:tc>
          <w:tcPr>
            <w:tcW w:w="1783" w:type="dxa"/>
            <w:tcBorders/>
            <w:vAlign w:val="center"/>
          </w:tcPr>
          <w:p>
            <w:pPr>
              <w:pStyle w:val="TableContents"/>
              <w:bidi w:val="0"/>
              <w:spacing w:before="0" w:after="283"/>
              <w:jc w:val="left"/>
              <w:rPr/>
            </w:pPr>
            <w:r>
              <w:rPr/>
              <w:t>Nonconformity and CAPA log</w:t>
            </w:r>
          </w:p>
        </w:tc>
        <w:tc>
          <w:tcPr>
            <w:tcW w:w="2327" w:type="dxa"/>
            <w:tcBorders/>
            <w:vAlign w:val="center"/>
          </w:tcPr>
          <w:p>
            <w:pPr>
              <w:pStyle w:val="TableContents"/>
              <w:bidi w:val="0"/>
              <w:spacing w:before="0" w:after="283"/>
              <w:jc w:val="left"/>
              <w:rPr/>
            </w:pPr>
            <w:r>
              <w:rPr>
                <w:rStyle w:val="SourceText"/>
              </w:rPr>
              <w:t>registers/REG-04_Nonconformity_and_CAPA_Log.md</w:t>
            </w:r>
          </w:p>
        </w:tc>
        <w:tc>
          <w:tcPr>
            <w:tcW w:w="1233" w:type="dxa"/>
            <w:tcBorders/>
            <w:vAlign w:val="center"/>
          </w:tcPr>
          <w:p>
            <w:pPr>
              <w:pStyle w:val="TableContents"/>
              <w:bidi w:val="0"/>
              <w:spacing w:before="0" w:after="283"/>
              <w:jc w:val="left"/>
              <w:rPr/>
            </w:pPr>
            <w:r>
              <w:rPr/>
              <w:t>3 years after closure (</w:t>
            </w:r>
            <w:r>
              <w:rPr>
                <w:rStyle w:val="SourceText"/>
              </w:rPr>
              <w:t>SOP-01</w:t>
            </w:r>
            <w:r>
              <w:rPr/>
              <w:t xml:space="preserve"> §8)</w:t>
            </w:r>
          </w:p>
        </w:tc>
      </w:tr>
      <w:tr>
        <w:trPr/>
        <w:tc>
          <w:tcPr>
            <w:tcW w:w="1783" w:type="dxa"/>
            <w:tcBorders/>
            <w:vAlign w:val="center"/>
          </w:tcPr>
          <w:p>
            <w:pPr>
              <w:pStyle w:val="TableContents"/>
              <w:bidi w:val="0"/>
              <w:spacing w:before="0" w:after="283"/>
              <w:jc w:val="left"/>
              <w:rPr/>
            </w:pPr>
            <w:r>
              <w:rPr/>
              <w:t>Individual nonconformity record</w:t>
            </w:r>
          </w:p>
        </w:tc>
        <w:tc>
          <w:tcPr>
            <w:tcW w:w="2327" w:type="dxa"/>
            <w:tcBorders/>
            <w:vAlign w:val="center"/>
          </w:tcPr>
          <w:p>
            <w:pPr>
              <w:pStyle w:val="TableContents"/>
              <w:bidi w:val="0"/>
              <w:spacing w:before="0" w:after="283"/>
              <w:jc w:val="left"/>
              <w:rPr/>
            </w:pPr>
            <w:r>
              <w:rPr>
                <w:rStyle w:val="SourceText"/>
              </w:rPr>
              <w:t>forms/FRM-05_Nonconformity_and_CAPA_Record.md</w:t>
            </w:r>
            <w:r>
              <w:rPr/>
              <w:t>, completed per event</w:t>
            </w:r>
          </w:p>
        </w:tc>
        <w:tc>
          <w:tcPr>
            <w:tcW w:w="1233" w:type="dxa"/>
            <w:tcBorders/>
            <w:vAlign w:val="center"/>
          </w:tcPr>
          <w:p>
            <w:pPr>
              <w:pStyle w:val="TableContents"/>
              <w:bidi w:val="0"/>
              <w:spacing w:before="0" w:after="283"/>
              <w:jc w:val="left"/>
              <w:rPr/>
            </w:pPr>
            <w:r>
              <w:rPr/>
              <w:t>3 years after closure</w:t>
            </w:r>
          </w:p>
        </w:tc>
      </w:tr>
      <w:tr>
        <w:trPr/>
        <w:tc>
          <w:tcPr>
            <w:tcW w:w="1783" w:type="dxa"/>
            <w:tcBorders/>
            <w:vAlign w:val="center"/>
          </w:tcPr>
          <w:p>
            <w:pPr>
              <w:pStyle w:val="TableContents"/>
              <w:bidi w:val="0"/>
              <w:spacing w:before="0" w:after="283"/>
              <w:jc w:val="left"/>
              <w:rPr/>
            </w:pPr>
            <w:r>
              <w:rPr/>
              <w:t>Correction, mechanism and verification</w:t>
            </w:r>
          </w:p>
        </w:tc>
        <w:tc>
          <w:tcPr>
            <w:tcW w:w="2327" w:type="dxa"/>
            <w:tcBorders/>
            <w:vAlign w:val="center"/>
          </w:tcPr>
          <w:p>
            <w:pPr>
              <w:pStyle w:val="TableContents"/>
              <w:bidi w:val="0"/>
              <w:spacing w:before="0" w:after="283"/>
              <w:jc w:val="left"/>
              <w:rPr/>
            </w:pPr>
            <w:r>
              <w:rPr/>
              <w:t>Git commit body (</w:t>
            </w:r>
            <w:r>
              <w:rPr>
                <w:rStyle w:val="SourceText"/>
              </w:rPr>
              <w:t>git log</w:t>
            </w:r>
            <w:r>
              <w:rPr/>
              <w:t>)</w:t>
            </w:r>
          </w:p>
        </w:tc>
        <w:tc>
          <w:tcPr>
            <w:tcW w:w="1233" w:type="dxa"/>
            <w:tcBorders/>
            <w:vAlign w:val="center"/>
          </w:tcPr>
          <w:p>
            <w:pPr>
              <w:pStyle w:val="TableContents"/>
              <w:bidi w:val="0"/>
              <w:spacing w:before="0" w:after="283"/>
              <w:jc w:val="left"/>
              <w:rPr/>
            </w:pPr>
            <w:r>
              <w:rPr/>
              <w:t xml:space="preserve">Per </w:t>
            </w:r>
            <w:r>
              <w:rPr>
                <w:rStyle w:val="SourceText"/>
              </w:rPr>
              <w:t>SOP-01</w:t>
            </w:r>
            <w:r>
              <w:rPr/>
              <w:t xml:space="preserve"> §8</w:t>
            </w:r>
          </w:p>
        </w:tc>
      </w:tr>
      <w:tr>
        <w:trPr/>
        <w:tc>
          <w:tcPr>
            <w:tcW w:w="1783" w:type="dxa"/>
            <w:tcBorders/>
            <w:vAlign w:val="center"/>
          </w:tcPr>
          <w:p>
            <w:pPr>
              <w:pStyle w:val="TableContents"/>
              <w:bidi w:val="0"/>
              <w:spacing w:before="0" w:after="283"/>
              <w:jc w:val="left"/>
              <w:rPr/>
            </w:pPr>
            <w:r>
              <w:rPr/>
              <w:t>Concession authorisation</w:t>
            </w:r>
          </w:p>
        </w:tc>
        <w:tc>
          <w:tcPr>
            <w:tcW w:w="2327" w:type="dxa"/>
            <w:tcBorders/>
            <w:vAlign w:val="center"/>
          </w:tcPr>
          <w:p>
            <w:pPr>
              <w:pStyle w:val="TableContents"/>
              <w:bidi w:val="0"/>
              <w:spacing w:before="0" w:after="283"/>
              <w:jc w:val="left"/>
              <w:rPr/>
            </w:pPr>
            <w:r>
              <w:rPr/>
              <w:t>On the nonconformity record, with authorising role and date</w:t>
            </w:r>
          </w:p>
        </w:tc>
        <w:tc>
          <w:tcPr>
            <w:tcW w:w="1233" w:type="dxa"/>
            <w:tcBorders/>
            <w:vAlign w:val="center"/>
          </w:tcPr>
          <w:p>
            <w:pPr>
              <w:pStyle w:val="TableContents"/>
              <w:bidi w:val="0"/>
              <w:spacing w:before="0" w:after="283"/>
              <w:jc w:val="left"/>
              <w:rPr/>
            </w:pPr>
            <w:r>
              <w:rPr/>
              <w:t>3 years after closure</w:t>
            </w:r>
          </w:p>
        </w:tc>
      </w:tr>
      <w:tr>
        <w:trPr/>
        <w:tc>
          <w:tcPr>
            <w:tcW w:w="1783" w:type="dxa"/>
            <w:tcBorders/>
            <w:vAlign w:val="center"/>
          </w:tcPr>
          <w:p>
            <w:pPr>
              <w:pStyle w:val="TableContents"/>
              <w:bidi w:val="0"/>
              <w:spacing w:before="0" w:after="283"/>
              <w:jc w:val="left"/>
              <w:rPr/>
            </w:pPr>
            <w:r>
              <w:rPr/>
              <w:t>Customer notification, or the reasoned decision not to notify</w:t>
            </w:r>
          </w:p>
        </w:tc>
        <w:tc>
          <w:tcPr>
            <w:tcW w:w="2327" w:type="dxa"/>
            <w:tcBorders/>
            <w:vAlign w:val="center"/>
          </w:tcPr>
          <w:p>
            <w:pPr>
              <w:pStyle w:val="TableContents"/>
              <w:bidi w:val="0"/>
              <w:spacing w:before="0" w:after="283"/>
              <w:jc w:val="left"/>
              <w:rPr/>
            </w:pPr>
            <w:r>
              <w:rPr/>
              <w:t>On the nonconformity record</w:t>
            </w:r>
          </w:p>
        </w:tc>
        <w:tc>
          <w:tcPr>
            <w:tcW w:w="1233" w:type="dxa"/>
            <w:tcBorders/>
            <w:vAlign w:val="center"/>
          </w:tcPr>
          <w:p>
            <w:pPr>
              <w:pStyle w:val="TableContents"/>
              <w:bidi w:val="0"/>
              <w:spacing w:before="0" w:after="283"/>
              <w:jc w:val="left"/>
              <w:rPr/>
            </w:pPr>
            <w:r>
              <w:rPr/>
              <w:t>3 years after closure</w:t>
            </w:r>
          </w:p>
        </w:tc>
      </w:tr>
      <w:tr>
        <w:trPr/>
        <w:tc>
          <w:tcPr>
            <w:tcW w:w="1783" w:type="dxa"/>
            <w:tcBorders/>
            <w:vAlign w:val="center"/>
          </w:tcPr>
          <w:p>
            <w:pPr>
              <w:pStyle w:val="TableContents"/>
              <w:bidi w:val="0"/>
              <w:spacing w:before="0" w:after="283"/>
              <w:jc w:val="left"/>
              <w:rPr/>
            </w:pPr>
            <w:r>
              <w:rPr/>
              <w:t>Evaluation output supporting a verification</w:t>
            </w:r>
          </w:p>
        </w:tc>
        <w:tc>
          <w:tcPr>
            <w:tcW w:w="2327" w:type="dxa"/>
            <w:tcBorders/>
            <w:vAlign w:val="center"/>
          </w:tcPr>
          <w:p>
            <w:pPr>
              <w:pStyle w:val="TableContents"/>
              <w:bidi w:val="0"/>
              <w:spacing w:before="0" w:after="283"/>
              <w:jc w:val="left"/>
              <w:rPr/>
            </w:pPr>
            <w:r>
              <w:rPr>
                <w:rStyle w:val="SourceText"/>
              </w:rPr>
              <w:t>eval/reports/</w:t>
            </w:r>
            <w:r>
              <w:rPr/>
              <w:t xml:space="preserve"> — see the gap in §12</w:t>
            </w:r>
          </w:p>
        </w:tc>
        <w:tc>
          <w:tcPr>
            <w:tcW w:w="1233" w:type="dxa"/>
            <w:tcBorders/>
            <w:vAlign w:val="center"/>
          </w:tcPr>
          <w:p>
            <w:pPr>
              <w:pStyle w:val="TableContents"/>
              <w:bidi w:val="0"/>
              <w:spacing w:before="0" w:after="283"/>
              <w:jc w:val="left"/>
              <w:rPr/>
            </w:pPr>
            <w:r>
              <w:rPr/>
              <w:t>Not currently retained</w:t>
            </w:r>
          </w:p>
        </w:tc>
      </w:tr>
      <w:tr>
        <w:trPr/>
        <w:tc>
          <w:tcPr>
            <w:tcW w:w="1783" w:type="dxa"/>
            <w:tcBorders/>
            <w:vAlign w:val="center"/>
          </w:tcPr>
          <w:p>
            <w:pPr>
              <w:pStyle w:val="TableContents"/>
              <w:bidi w:val="0"/>
              <w:spacing w:before="0" w:after="283"/>
              <w:jc w:val="left"/>
              <w:rPr/>
            </w:pPr>
            <w:r>
              <w:rPr/>
              <w:t>Review of S1 and S2 records</w:t>
            </w:r>
          </w:p>
        </w:tc>
        <w:tc>
          <w:tcPr>
            <w:tcW w:w="2327" w:type="dxa"/>
            <w:tcBorders/>
            <w:vAlign w:val="center"/>
          </w:tcPr>
          <w:p>
            <w:pPr>
              <w:pStyle w:val="TableContents"/>
              <w:bidi w:val="0"/>
              <w:spacing w:before="0" w:after="283"/>
              <w:jc w:val="left"/>
              <w:rPr/>
            </w:pPr>
            <w:r>
              <w:rPr/>
              <w:t xml:space="preserve">Management review minutes under </w:t>
            </w:r>
            <w:r>
              <w:rPr>
                <w:rStyle w:val="SourceText"/>
              </w:rPr>
              <w:t>SOP-15</w:t>
            </w:r>
          </w:p>
        </w:tc>
        <w:tc>
          <w:tcPr>
            <w:tcW w:w="1233" w:type="dxa"/>
            <w:tcBorders/>
            <w:vAlign w:val="center"/>
          </w:tcPr>
          <w:p>
            <w:pPr>
              <w:pStyle w:val="TableContents"/>
              <w:bidi w:val="0"/>
              <w:spacing w:before="0" w:after="283"/>
              <w:jc w:val="left"/>
              <w:rPr/>
            </w:pPr>
            <w:r>
              <w:rPr/>
              <w:t>3 years</w:t>
            </w:r>
          </w:p>
        </w:tc>
      </w:tr>
    </w:tbl>
    <w:p>
      <w:pPr>
        <w:pStyle w:val="Heading2"/>
        <w:bidi w:val="0"/>
        <w:jc w:val="left"/>
        <w:rPr/>
      </w:pPr>
      <w:r>
        <w:rPr/>
        <w:t>12. Current state and gaps</w:t>
      </w:r>
    </w:p>
    <w:p>
      <w:pPr>
        <w:pStyle w:val="BodyText"/>
        <w:bidi w:val="0"/>
        <w:jc w:val="left"/>
        <w:rPr/>
      </w:pPr>
      <w:r>
        <w:rPr>
          <w:rStyle w:val="Strong"/>
        </w:rPr>
        <w:t>Stated plainly: Ajace AI has a strong, evidenced defect-correction practice and no incident management system.</w:t>
      </w:r>
      <w:r>
        <w:rPr/>
        <w:t xml:space="preserve"> The corrections in §10 are real, specific and verified by measurement — the weakness is not engineering rigour, it is that nothing aggregates, owns, ages or closes these events, and nothing at all governs telling a customer.</w:t>
      </w:r>
    </w:p>
    <w:tbl>
      <w:tblPr>
        <w:tblW w:w="5343" w:type="dxa"/>
        <w:jc w:val="left"/>
        <w:tblInd w:w="0" w:type="dxa"/>
        <w:tblLayout w:type="fixed"/>
        <w:tblCellMar>
          <w:top w:w="28" w:type="dxa"/>
          <w:left w:w="28" w:type="dxa"/>
          <w:bottom w:w="28" w:type="dxa"/>
          <w:right w:w="28" w:type="dxa"/>
        </w:tblCellMar>
      </w:tblPr>
      <w:tblGrid>
        <w:gridCol w:w="1772"/>
        <w:gridCol w:w="2179"/>
        <w:gridCol w:w="1392"/>
      </w:tblGrid>
      <w:tr>
        <w:trPr>
          <w:tblHeader w:val="true"/>
        </w:trPr>
        <w:tc>
          <w:tcPr>
            <w:tcW w:w="1772" w:type="dxa"/>
            <w:tcBorders/>
            <w:vAlign w:val="center"/>
          </w:tcPr>
          <w:p>
            <w:pPr>
              <w:pStyle w:val="TableHeading"/>
              <w:suppressLineNumbers/>
              <w:shd w:fill="1F3A5F" w:val="clear"/>
              <w:bidi w:val="0"/>
              <w:spacing w:before="0" w:after="283"/>
              <w:jc w:val="center"/>
              <w:rPr/>
            </w:pPr>
            <w:r>
              <w:rPr/>
              <w:t>Gap</w:t>
            </w:r>
          </w:p>
        </w:tc>
        <w:tc>
          <w:tcPr>
            <w:tcW w:w="2179" w:type="dxa"/>
            <w:tcBorders/>
            <w:vAlign w:val="center"/>
          </w:tcPr>
          <w:p>
            <w:pPr>
              <w:pStyle w:val="TableHeading"/>
              <w:suppressLineNumbers/>
              <w:shd w:fill="1F3A5F" w:val="clear"/>
              <w:bidi w:val="0"/>
              <w:spacing w:before="0" w:after="283"/>
              <w:jc w:val="center"/>
              <w:rPr/>
            </w:pPr>
            <w:r>
              <w:rPr/>
              <w:t>Current state</w:t>
            </w:r>
          </w:p>
        </w:tc>
        <w:tc>
          <w:tcPr>
            <w:tcW w:w="1392" w:type="dxa"/>
            <w:tcBorders/>
            <w:vAlign w:val="center"/>
          </w:tcPr>
          <w:p>
            <w:pPr>
              <w:pStyle w:val="TableHeading"/>
              <w:suppressLineNumbers/>
              <w:shd w:fill="1F3A5F" w:val="clear"/>
              <w:bidi w:val="0"/>
              <w:spacing w:before="0" w:after="283"/>
              <w:jc w:val="center"/>
              <w:rPr/>
            </w:pPr>
            <w:r>
              <w:rPr/>
              <w:t>Consequence</w:t>
            </w:r>
          </w:p>
        </w:tc>
      </w:tr>
      <w:tr>
        <w:trPr/>
        <w:tc>
          <w:tcPr>
            <w:tcW w:w="1772" w:type="dxa"/>
            <w:tcBorders/>
            <w:vAlign w:val="center"/>
          </w:tcPr>
          <w:p>
            <w:pPr>
              <w:pStyle w:val="TableContents"/>
              <w:bidi w:val="0"/>
              <w:spacing w:before="0" w:after="283"/>
              <w:jc w:val="left"/>
              <w:rPr/>
            </w:pPr>
            <w:r>
              <w:rPr/>
              <w:t>No incident or nonconformity register before this QMS</w:t>
            </w:r>
          </w:p>
        </w:tc>
        <w:tc>
          <w:tcPr>
            <w:tcW w:w="2179" w:type="dxa"/>
            <w:tcBorders/>
            <w:vAlign w:val="center"/>
          </w:tcPr>
          <w:p>
            <w:pPr>
              <w:pStyle w:val="TableContents"/>
              <w:bidi w:val="0"/>
              <w:spacing w:before="0" w:after="283"/>
              <w:jc w:val="left"/>
              <w:rPr/>
            </w:pPr>
            <w:r>
              <w:rPr>
                <w:rStyle w:val="SourceText"/>
              </w:rPr>
              <w:t>docs/qms/registers/</w:t>
            </w:r>
            <w:r>
              <w:rPr/>
              <w:t xml:space="preserve"> contained no register at the time of writing; </w:t>
            </w:r>
            <w:r>
              <w:rPr>
                <w:rStyle w:val="SourceText"/>
              </w:rPr>
              <w:t>registers/REG-04</w:t>
            </w:r>
            <w:r>
              <w:rPr/>
              <w:t xml:space="preserve"> is created by this QMS and seeded only from the evidence in §10</w:t>
            </w:r>
          </w:p>
        </w:tc>
        <w:tc>
          <w:tcPr>
            <w:tcW w:w="1392" w:type="dxa"/>
            <w:tcBorders/>
            <w:vAlign w:val="center"/>
          </w:tcPr>
          <w:p>
            <w:pPr>
              <w:pStyle w:val="TableContents"/>
              <w:bidi w:val="0"/>
              <w:spacing w:before="0" w:after="283"/>
              <w:jc w:val="left"/>
              <w:rPr/>
            </w:pPr>
            <w:r>
              <w:rPr/>
              <w:t>Defects were corrected but never counted, aged or reviewed as a set; recurrence cannot be demonstrated either way</w:t>
            </w:r>
          </w:p>
        </w:tc>
      </w:tr>
      <w:tr>
        <w:trPr/>
        <w:tc>
          <w:tcPr>
            <w:tcW w:w="1772" w:type="dxa"/>
            <w:tcBorders/>
            <w:vAlign w:val="center"/>
          </w:tcPr>
          <w:p>
            <w:pPr>
              <w:pStyle w:val="TableContents"/>
              <w:bidi w:val="0"/>
              <w:spacing w:before="0" w:after="283"/>
              <w:jc w:val="left"/>
              <w:rPr/>
            </w:pPr>
            <w:r>
              <w:rPr/>
              <w:t>No in-repo issue tracker</w:t>
            </w:r>
          </w:p>
        </w:tc>
        <w:tc>
          <w:tcPr>
            <w:tcW w:w="2179" w:type="dxa"/>
            <w:tcBorders/>
            <w:vAlign w:val="center"/>
          </w:tcPr>
          <w:p>
            <w:pPr>
              <w:pStyle w:val="TableContents"/>
              <w:bidi w:val="0"/>
              <w:spacing w:before="0" w:after="283"/>
              <w:jc w:val="left"/>
              <w:rPr/>
            </w:pPr>
            <w:r>
              <w:rPr/>
              <w:t xml:space="preserve">No </w:t>
            </w:r>
            <w:r>
              <w:rPr>
                <w:rStyle w:val="SourceText"/>
              </w:rPr>
              <w:t>ISSUES.md</w:t>
            </w:r>
            <w:r>
              <w:rPr/>
              <w:t xml:space="preserve">, no </w:t>
            </w:r>
            <w:r>
              <w:rPr>
                <w:rStyle w:val="SourceText"/>
              </w:rPr>
              <w:t>TODO.md</w:t>
            </w:r>
            <w:r>
              <w:rPr/>
              <w:t xml:space="preserve">, no </w:t>
            </w:r>
            <w:r>
              <w:rPr>
                <w:rStyle w:val="SourceText"/>
              </w:rPr>
              <w:t>.github/</w:t>
            </w:r>
            <w:r>
              <w:rPr/>
              <w:t xml:space="preserve"> directory; a repository-wide search for </w:t>
            </w:r>
            <w:r>
              <w:rPr>
                <w:rStyle w:val="SourceText"/>
              </w:rPr>
              <w:t>TODO</w:t>
            </w:r>
            <w:r>
              <w:rPr/>
              <w:t xml:space="preserve">, </w:t>
            </w:r>
            <w:r>
              <w:rPr>
                <w:rStyle w:val="SourceText"/>
              </w:rPr>
              <w:t>FIXME</w:t>
            </w:r>
            <w:r>
              <w:rPr/>
              <w:t xml:space="preserve"> and </w:t>
            </w:r>
            <w:r>
              <w:rPr>
                <w:rStyle w:val="SourceText"/>
              </w:rPr>
              <w:t>HACK</w:t>
            </w:r>
            <w:r>
              <w:rPr/>
              <w:t xml:space="preserve"> returns zero matches</w:t>
            </w:r>
          </w:p>
        </w:tc>
        <w:tc>
          <w:tcPr>
            <w:tcW w:w="1392" w:type="dxa"/>
            <w:tcBorders/>
            <w:vAlign w:val="center"/>
          </w:tcPr>
          <w:p>
            <w:pPr>
              <w:pStyle w:val="TableContents"/>
              <w:bidi w:val="0"/>
              <w:spacing w:before="0" w:after="283"/>
              <w:jc w:val="left"/>
              <w:rPr/>
            </w:pPr>
            <w:r>
              <w:rPr/>
              <w:t>There is no list of known-open problems. An auditor asking "what is currently wrong?" cannot be answered from the repository</w:t>
            </w:r>
          </w:p>
        </w:tc>
      </w:tr>
      <w:tr>
        <w:trPr/>
        <w:tc>
          <w:tcPr>
            <w:tcW w:w="1772" w:type="dxa"/>
            <w:tcBorders/>
            <w:vAlign w:val="center"/>
          </w:tcPr>
          <w:p>
            <w:pPr>
              <w:pStyle w:val="TableContents"/>
              <w:bidi w:val="0"/>
              <w:spacing w:before="0" w:after="283"/>
              <w:jc w:val="left"/>
              <w:rPr/>
            </w:pPr>
            <w:r>
              <w:rPr/>
              <w:t>Known issues are recorded in configuration comments</w:t>
            </w:r>
          </w:p>
        </w:tc>
        <w:tc>
          <w:tcPr>
            <w:tcW w:w="2179" w:type="dxa"/>
            <w:tcBorders/>
            <w:vAlign w:val="center"/>
          </w:tcPr>
          <w:p>
            <w:pPr>
              <w:pStyle w:val="TableContents"/>
              <w:bidi w:val="0"/>
              <w:spacing w:before="0" w:after="283"/>
              <w:jc w:val="left"/>
              <w:rPr/>
            </w:pPr>
            <w:r>
              <w:rPr/>
              <w:t xml:space="preserve">For example </w:t>
            </w:r>
            <w:r>
              <w:rPr>
                <w:rStyle w:val="SourceText"/>
              </w:rPr>
              <w:t>docker-compose.yml:7-11</w:t>
            </w:r>
            <w:r>
              <w:rPr/>
              <w:t xml:space="preserve"> (GB10 worker-spawn CUDA bug and its rollback plan), </w:t>
            </w:r>
            <w:r>
              <w:rPr>
                <w:rStyle w:val="SourceText"/>
              </w:rPr>
              <w:t>:41-44</w:t>
            </w:r>
            <w:r>
              <w:rPr/>
              <w:t xml:space="preserve"> (</w:t>
            </w:r>
            <w:r>
              <w:rPr>
                <w:rStyle w:val="SourceText"/>
              </w:rPr>
              <w:t>gpus: all</w:t>
            </w:r>
            <w:r>
              <w:rPr/>
              <w:t xml:space="preserve"> versus the </w:t>
            </w:r>
            <w:r>
              <w:rPr>
                <w:rStyle w:val="SourceText"/>
              </w:rPr>
              <w:t>deploy</w:t>
            </w:r>
            <w:r>
              <w:rPr/>
              <w:t xml:space="preserve"> form breaking NVML, "Verified: same image works with --gpus all, fails via the deploy form"), </w:t>
            </w:r>
            <w:r>
              <w:rPr>
                <w:rStyle w:val="SourceText"/>
              </w:rPr>
              <w:t>:86-89</w:t>
            </w:r>
            <w:r>
              <w:rPr/>
              <w:t xml:space="preserve">, </w:t>
            </w:r>
            <w:r>
              <w:rPr>
                <w:rStyle w:val="SourceText"/>
              </w:rPr>
              <w:t>:164-166</w:t>
            </w:r>
            <w:r>
              <w:rPr/>
              <w:t xml:space="preserve"> (onnxruntime CUDA EP unavailable on ARM), </w:t>
            </w:r>
            <w:r>
              <w:rPr>
                <w:rStyle w:val="SourceText"/>
              </w:rPr>
              <w:t>backend/Dockerfile:32-33</w:t>
            </w:r>
            <w:r>
              <w:rPr/>
              <w:t xml:space="preserve"> (setuptools drift)</w:t>
            </w:r>
          </w:p>
        </w:tc>
        <w:tc>
          <w:tcPr>
            <w:tcW w:w="1392" w:type="dxa"/>
            <w:tcBorders/>
            <w:vAlign w:val="center"/>
          </w:tcPr>
          <w:p>
            <w:pPr>
              <w:pStyle w:val="TableContents"/>
              <w:bidi w:val="0"/>
              <w:spacing w:before="0" w:after="283"/>
              <w:jc w:val="left"/>
              <w:rPr/>
            </w:pPr>
            <w:r>
              <w:rPr/>
              <w:t>The content is real, specific and verified — but it is distributed across configuration files with no list, no owner, no status and no closure evidence. It is knowledge, not a record</w:t>
            </w:r>
          </w:p>
        </w:tc>
      </w:tr>
      <w:tr>
        <w:trPr/>
        <w:tc>
          <w:tcPr>
            <w:tcW w:w="1772" w:type="dxa"/>
            <w:tcBorders/>
            <w:vAlign w:val="center"/>
          </w:tcPr>
          <w:p>
            <w:pPr>
              <w:pStyle w:val="TableContents"/>
              <w:bidi w:val="0"/>
              <w:spacing w:before="0" w:after="283"/>
              <w:jc w:val="left"/>
              <w:rPr/>
            </w:pPr>
            <w:r>
              <w:rPr/>
              <w:t>No customer-notification procedure</w:t>
            </w:r>
          </w:p>
        </w:tc>
        <w:tc>
          <w:tcPr>
            <w:tcW w:w="2179" w:type="dxa"/>
            <w:tcBorders/>
            <w:vAlign w:val="center"/>
          </w:tcPr>
          <w:p>
            <w:pPr>
              <w:pStyle w:val="TableContents"/>
              <w:bidi w:val="0"/>
              <w:spacing w:before="0" w:after="283"/>
              <w:jc w:val="left"/>
              <w:rPr/>
            </w:pPr>
            <w:r>
              <w:rPr/>
              <w:t xml:space="preserve">Nothing in </w:t>
            </w:r>
            <w:r>
              <w:rPr>
                <w:rStyle w:val="SourceText"/>
              </w:rPr>
              <w:t>docs/</w:t>
            </w:r>
            <w:r>
              <w:rPr/>
              <w:t xml:space="preserve"> defines who tells a customer what, within what time, after an N1 or N2 event</w:t>
            </w:r>
          </w:p>
        </w:tc>
        <w:tc>
          <w:tcPr>
            <w:tcW w:w="1392" w:type="dxa"/>
            <w:tcBorders/>
            <w:vAlign w:val="center"/>
          </w:tcPr>
          <w:p>
            <w:pPr>
              <w:pStyle w:val="TableContents"/>
              <w:bidi w:val="0"/>
              <w:spacing w:before="0" w:after="283"/>
              <w:jc w:val="left"/>
              <w:rPr/>
            </w:pPr>
            <w:r>
              <w:rPr/>
              <w:t>§8.3 is currently an obligation with no mechanism. This is the highest-priority gap in this procedure</w:t>
            </w:r>
          </w:p>
        </w:tc>
      </w:tr>
      <w:tr>
        <w:trPr/>
        <w:tc>
          <w:tcPr>
            <w:tcW w:w="1772" w:type="dxa"/>
            <w:tcBorders/>
            <w:vAlign w:val="center"/>
          </w:tcPr>
          <w:p>
            <w:pPr>
              <w:pStyle w:val="TableContents"/>
              <w:bidi w:val="0"/>
              <w:spacing w:before="0" w:after="283"/>
              <w:jc w:val="left"/>
              <w:rPr/>
            </w:pPr>
            <w:r>
              <w:rPr/>
              <w:t>No separation between proposer and authoriser</w:t>
            </w:r>
          </w:p>
        </w:tc>
        <w:tc>
          <w:tcPr>
            <w:tcW w:w="2179" w:type="dxa"/>
            <w:tcBorders/>
            <w:vAlign w:val="center"/>
          </w:tcPr>
          <w:p>
            <w:pPr>
              <w:pStyle w:val="TableContents"/>
              <w:bidi w:val="0"/>
              <w:spacing w:before="0" w:after="283"/>
              <w:jc w:val="left"/>
              <w:rPr/>
            </w:pPr>
            <w:r>
              <w:rPr/>
              <w:t>One person holds all roles (</w:t>
            </w:r>
            <w:r>
              <w:rPr>
                <w:rStyle w:val="SourceText"/>
              </w:rPr>
              <w:t>SOP-02</w:t>
            </w:r>
            <w:r>
              <w:rPr/>
              <w:t xml:space="preserve"> §3)</w:t>
            </w:r>
          </w:p>
        </w:tc>
        <w:tc>
          <w:tcPr>
            <w:tcW w:w="1392" w:type="dxa"/>
            <w:tcBorders/>
            <w:vAlign w:val="center"/>
          </w:tcPr>
          <w:p>
            <w:pPr>
              <w:pStyle w:val="TableContents"/>
              <w:bidi w:val="0"/>
              <w:spacing w:before="0" w:after="283"/>
              <w:jc w:val="left"/>
              <w:rPr/>
            </w:pPr>
            <w:r>
              <w:rPr/>
              <w:t>Acceptance under concession is self-authorised. The record must still be written, and the absence noted at management review</w:t>
            </w:r>
          </w:p>
        </w:tc>
      </w:tr>
      <w:tr>
        <w:trPr/>
        <w:tc>
          <w:tcPr>
            <w:tcW w:w="1772" w:type="dxa"/>
            <w:tcBorders/>
            <w:vAlign w:val="center"/>
          </w:tcPr>
          <w:p>
            <w:pPr>
              <w:pStyle w:val="TableContents"/>
              <w:bidi w:val="0"/>
              <w:spacing w:before="0" w:after="283"/>
              <w:jc w:val="left"/>
              <w:rPr/>
            </w:pPr>
            <w:r>
              <w:rPr/>
              <w:t>No in-product feedback channel</w:t>
            </w:r>
          </w:p>
        </w:tc>
        <w:tc>
          <w:tcPr>
            <w:tcW w:w="2179" w:type="dxa"/>
            <w:tcBorders/>
            <w:vAlign w:val="center"/>
          </w:tcPr>
          <w:p>
            <w:pPr>
              <w:pStyle w:val="TableContents"/>
              <w:bidi w:val="0"/>
              <w:spacing w:before="0" w:after="283"/>
              <w:jc w:val="left"/>
              <w:rPr/>
            </w:pPr>
            <w:r>
              <w:rPr/>
              <w:t xml:space="preserve">The front end has a single </w:t>
            </w:r>
            <w:r>
              <w:rPr>
                <w:rStyle w:val="SourceText"/>
              </w:rPr>
              <w:t>ErrorBoundary</w:t>
            </w:r>
            <w:r>
              <w:rPr/>
              <w:t xml:space="preserve"> (</w:t>
            </w:r>
            <w:r>
              <w:rPr>
                <w:rStyle w:val="SourceText"/>
              </w:rPr>
              <w:t>frontend/App.tsx:156</w:t>
            </w:r>
            <w:r>
              <w:rPr/>
              <w:t>) and no toast or notification component at all; there is no "report a bad answer" affordance</w:t>
            </w:r>
          </w:p>
        </w:tc>
        <w:tc>
          <w:tcPr>
            <w:tcW w:w="1392" w:type="dxa"/>
            <w:tcBorders/>
            <w:vAlign w:val="center"/>
          </w:tcPr>
          <w:p>
            <w:pPr>
              <w:pStyle w:val="TableContents"/>
              <w:bidi w:val="0"/>
              <w:spacing w:before="0" w:after="283"/>
              <w:jc w:val="left"/>
              <w:rPr/>
            </w:pPr>
            <w:r>
              <w:rPr/>
              <w:t>N1 — the most severe class — has no production detection channel whatsoever. It can only be found by evaluation, and the evaluation runs against a fixed question set</w:t>
            </w:r>
          </w:p>
        </w:tc>
      </w:tr>
      <w:tr>
        <w:trPr/>
        <w:tc>
          <w:tcPr>
            <w:tcW w:w="1772" w:type="dxa"/>
            <w:tcBorders/>
            <w:vAlign w:val="center"/>
          </w:tcPr>
          <w:p>
            <w:pPr>
              <w:pStyle w:val="TableContents"/>
              <w:bidi w:val="0"/>
              <w:spacing w:before="0" w:after="283"/>
              <w:jc w:val="left"/>
              <w:rPr/>
            </w:pPr>
            <w:r>
              <w:rPr/>
              <w:t>Raw exception text leaks to the client</w:t>
            </w:r>
          </w:p>
        </w:tc>
        <w:tc>
          <w:tcPr>
            <w:tcW w:w="2179" w:type="dxa"/>
            <w:tcBorders/>
            <w:vAlign w:val="center"/>
          </w:tcPr>
          <w:p>
            <w:pPr>
              <w:pStyle w:val="TableContents"/>
              <w:bidi w:val="0"/>
              <w:spacing w:before="0" w:after="283"/>
              <w:jc w:val="left"/>
              <w:rPr/>
            </w:pPr>
            <w:r>
              <w:rPr/>
              <w:t xml:space="preserve">Four bare </w:t>
            </w:r>
            <w:r>
              <w:rPr>
                <w:rStyle w:val="SourceText"/>
              </w:rPr>
              <w:t>str(e)</w:t>
            </w:r>
            <w:r>
              <w:rPr/>
              <w:t xml:space="preserve"> passthroughs in </w:t>
            </w:r>
            <w:r>
              <w:rPr>
                <w:rStyle w:val="SourceText"/>
              </w:rPr>
              <w:t>backend/app/transcribe/ws.py</w:t>
            </w:r>
            <w:r>
              <w:rPr/>
              <w:t xml:space="preserve"> at </w:t>
            </w:r>
            <w:r>
              <w:rPr>
                <w:rStyle w:val="SourceText"/>
              </w:rPr>
              <w:t>:353</w:t>
            </w:r>
            <w:r>
              <w:rPr/>
              <w:t xml:space="preserve">, </w:t>
            </w:r>
            <w:r>
              <w:rPr>
                <w:rStyle w:val="SourceText"/>
              </w:rPr>
              <w:t>:905</w:t>
            </w:r>
            <w:r>
              <w:rPr/>
              <w:t xml:space="preserve">, </w:t>
            </w:r>
            <w:r>
              <w:rPr>
                <w:rStyle w:val="SourceText"/>
              </w:rPr>
              <w:t>:963</w:t>
            </w:r>
            <w:r>
              <w:rPr/>
              <w:t xml:space="preserve"> and </w:t>
            </w:r>
            <w:r>
              <w:rPr>
                <w:rStyle w:val="SourceText"/>
              </w:rPr>
              <w:t>:1178</w:t>
            </w:r>
          </w:p>
        </w:tc>
        <w:tc>
          <w:tcPr>
            <w:tcW w:w="1392" w:type="dxa"/>
            <w:tcBorders/>
            <w:vAlign w:val="center"/>
          </w:tcPr>
          <w:p>
            <w:pPr>
              <w:pStyle w:val="TableContents"/>
              <w:bidi w:val="0"/>
              <w:spacing w:before="0" w:after="283"/>
              <w:jc w:val="left"/>
              <w:rPr/>
            </w:pPr>
            <w:r>
              <w:rPr/>
              <w:t>Internal detail reaches a user in a regulated environment; the message is also useless to that user</w:t>
            </w:r>
          </w:p>
        </w:tc>
      </w:tr>
      <w:tr>
        <w:trPr/>
        <w:tc>
          <w:tcPr>
            <w:tcW w:w="1772" w:type="dxa"/>
            <w:tcBorders/>
            <w:vAlign w:val="center"/>
          </w:tcPr>
          <w:p>
            <w:pPr>
              <w:pStyle w:val="TableContents"/>
              <w:bidi w:val="0"/>
              <w:spacing w:before="0" w:after="283"/>
              <w:jc w:val="left"/>
              <w:rPr/>
            </w:pPr>
            <w:r>
              <w:rPr/>
              <w:t>Evaluation reports are not retained</w:t>
            </w:r>
          </w:p>
        </w:tc>
        <w:tc>
          <w:tcPr>
            <w:tcW w:w="2179" w:type="dxa"/>
            <w:tcBorders/>
            <w:vAlign w:val="center"/>
          </w:tcPr>
          <w:p>
            <w:pPr>
              <w:pStyle w:val="TableContents"/>
              <w:bidi w:val="0"/>
              <w:spacing w:before="0" w:after="283"/>
              <w:jc w:val="left"/>
              <w:rPr/>
            </w:pPr>
            <w:r>
              <w:rPr>
                <w:rStyle w:val="SourceText"/>
              </w:rPr>
              <w:t>eval/.gitignore</w:t>
            </w:r>
            <w:r>
              <w:rPr/>
              <w:t xml:space="preserve"> excludes </w:t>
            </w:r>
            <w:r>
              <w:rPr>
                <w:rStyle w:val="SourceText"/>
              </w:rPr>
              <w:t>reports/</w:t>
            </w:r>
            <w:r>
              <w:rPr/>
              <w:t xml:space="preserve">, which is where </w:t>
            </w:r>
            <w:r>
              <w:rPr>
                <w:rStyle w:val="SourceText"/>
              </w:rPr>
              <w:t>eval/run_eval.py:275-276</w:t>
            </w:r>
            <w:r>
              <w:rPr/>
              <w:t xml:space="preserve"> writes each run</w:t>
            </w:r>
          </w:p>
        </w:tc>
        <w:tc>
          <w:tcPr>
            <w:tcW w:w="1392" w:type="dxa"/>
            <w:tcBorders/>
            <w:vAlign w:val="center"/>
          </w:tcPr>
          <w:p>
            <w:pPr>
              <w:pStyle w:val="TableContents"/>
              <w:bidi w:val="0"/>
              <w:spacing w:before="0" w:after="283"/>
              <w:jc w:val="left"/>
              <w:rPr/>
            </w:pPr>
            <w:r>
              <w:rPr/>
              <w:t xml:space="preserve">Verification evidence cited in a nonconformity record cannot be produced later. See </w:t>
            </w:r>
            <w:r>
              <w:rPr>
                <w:rStyle w:val="SourceText"/>
              </w:rPr>
              <w:t>SOP-12</w:t>
            </w:r>
            <w:r>
              <w:rPr/>
              <w:t xml:space="preserve"> §6</w:t>
            </w:r>
          </w:p>
        </w:tc>
      </w:tr>
      <w:tr>
        <w:trPr/>
        <w:tc>
          <w:tcPr>
            <w:tcW w:w="1772" w:type="dxa"/>
            <w:tcBorders/>
            <w:vAlign w:val="center"/>
          </w:tcPr>
          <w:p>
            <w:pPr>
              <w:pStyle w:val="TableContents"/>
              <w:bidi w:val="0"/>
              <w:spacing w:before="0" w:after="283"/>
              <w:jc w:val="left"/>
              <w:rPr/>
            </w:pPr>
            <w:r>
              <w:rPr/>
              <w:t>No severity or classification has ever been assigned</w:t>
            </w:r>
          </w:p>
        </w:tc>
        <w:tc>
          <w:tcPr>
            <w:tcW w:w="2179" w:type="dxa"/>
            <w:tcBorders/>
            <w:vAlign w:val="center"/>
          </w:tcPr>
          <w:p>
            <w:pPr>
              <w:pStyle w:val="TableContents"/>
              <w:bidi w:val="0"/>
              <w:spacing w:before="0" w:after="283"/>
              <w:jc w:val="left"/>
              <w:rPr/>
            </w:pPr>
            <w:r>
              <w:rPr/>
              <w:t xml:space="preserve">The 22 </w:t>
            </w:r>
            <w:r>
              <w:rPr>
                <w:rStyle w:val="SourceText"/>
              </w:rPr>
              <w:t>fix:</w:t>
            </w:r>
            <w:r>
              <w:rPr/>
              <w:t xml:space="preserve"> commits among 202 carry no severity field</w:t>
            </w:r>
          </w:p>
        </w:tc>
        <w:tc>
          <w:tcPr>
            <w:tcW w:w="1392" w:type="dxa"/>
            <w:tcBorders/>
            <w:vAlign w:val="center"/>
          </w:tcPr>
          <w:p>
            <w:pPr>
              <w:pStyle w:val="TableContents"/>
              <w:bidi w:val="0"/>
              <w:spacing w:before="0" w:after="283"/>
              <w:jc w:val="left"/>
              <w:rPr/>
            </w:pPr>
            <w:r>
              <w:rPr/>
              <w:t>Trend analysis by severity is not possible from the existing record and will begin only from adoption of this procedure</w:t>
            </w:r>
          </w:p>
        </w:tc>
      </w:tr>
    </w:tbl>
    <w:p>
      <w:pPr>
        <w:pStyle w:val="BodyText"/>
        <w:bidi w:val="0"/>
        <w:spacing w:before="0" w:after="283"/>
        <w:jc w:val="left"/>
        <w:rPr/>
      </w:pPr>
      <w:r>
        <w:rPr/>
        <w:t xml:space="preserve">Each gap above is carried into </w:t>
      </w:r>
      <w:r>
        <w:rPr>
          <w:rStyle w:val="SourceText"/>
        </w:rPr>
        <w:t>registers/REG-03_Risk_Register.md</w:t>
      </w:r>
      <w:r>
        <w:rPr/>
        <w:t xml:space="preserve"> and into </w:t>
      </w:r>
      <w:r>
        <w:rPr>
          <w:rStyle w:val="SourceText"/>
        </w:rPr>
        <w:t>ISO9001_Gap_Analysis.md</w:t>
      </w:r>
      <w:r>
        <w:rPr/>
        <w:t>.</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