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Design / Architecture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Design / Architecture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design changes since the last review (REG-07)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NFR impact (REG-09)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Risks (REG-03)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Decisions and 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Design / Architecture Review (TEMPLATE)</dc:title>
  <dc:creator>Ajace Inc. — EchoMind QMS</dc:creator>
  <cp:lastModifiedBy>Un-named</cp:lastModifiedBy>
  <cp:revision>1</cp:revision>
  <dcterms:created xsi:type="dcterms:W3CDTF">2026-10-06T22:33:19.274Z</dcterms:created>
  <dcterms:modified xsi:type="dcterms:W3CDTF">2026-10-06T22:33:19.274Z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