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Confidence Interval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(-0.2705, -0.1673)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( 0.0153,  0.0290)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(-0.0169,  0.0068)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(-0.0802,  0.0209)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years_since_2018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(-0.0868,  0.1324)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years_since_2018*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(-0.3597,  0.2857)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years_since_2018**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(-0.9285,  1.0186)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admit_src [Community Service]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(-0.2627,  0.2736)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admit_src [Emergency Department - this hospital]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(-0.0828,  0.0822)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admit_src [other]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(-0.8137, -0.2959)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admit_src [Outpatient Department - this hospital]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(-0.5040, -0.2807)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admit_src [Private Medical Practitioner (not Psych)]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(-1.2337, -0.3639)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admit_src [Residential Aged Care Service]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(-0.3199,  0.2270)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admit_src [Routine Readmission No Referral Required]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(-1.1727, -0.5516)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med_service [Geriatrics]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0.2673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( 0.1288,  0.4059)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med_service [Neurosurgery]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(-0.1929,  0.1525)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med_service [Orthopaedics]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(-0.4298, -0.1976)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med_service [other]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(-0.6393, -0.5027)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med_service [Palliative medicine]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0.2389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( 0.0888,  0.3889)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med_service [psych]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(-0.4531, -0.2201)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med_service [Psychogeriatric]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(-0.3123,  0.2697)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med_service [Rehabilitation]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(-0.0969,  0.1802)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med_service [Spinal]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(-1.0919, -0.0335)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tstart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0.3008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( 0.2454,  0.3562)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tstart*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(-0.5374, -0.1867)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prev_falls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0.9053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( 0.8640,  0.9467)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2023-11-04T16:16:05Z</dcterms:modified>
  <cp:category/>
</cp:coreProperties>
</file>