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Measure</w:t>
            </w:r>
          </w:p>
        </w:tc>
        <w:tc>
          <w:tcPr>
            <w:gridSpan w:val="5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Admitted patients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462,891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359,075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150,458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124,149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10,983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1,107,556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1,062,135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500,371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207,860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229,482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2,027,526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191,732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205,809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89,113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65,440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7,364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559,458 (51%)</w:t>
            </w:r>
          </w:p>
        </w:tc>
      </w:tr>
      <w:tr>
        <w:trPr>
          <w:trHeight w:val="360" w:hRule="auto"/>
        </w:trPr>
        body 4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6,004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Fallers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2,678 (0.58%)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1,248 (0.35%)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562 (0.37%)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731 (0.59%)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(1.11%)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5,341 (0.48%)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(48 - 74)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(26 - 63)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(31 - 72)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(43 - 77)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(26 - 71)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(35 - 72)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Length of stay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(0.2 - 1.2)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(0.2 - 1.2)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(0.2 - 2.1)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(0.2 - 2.3)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(0.2 - 1.4)</w:t>
            </w:r>
          </w:p>
        </w:tc>
      </w:tr>
      <w:tr>
        <w:trPr>
          <w:trHeight w:val="360" w:hRule="auto"/>
        </w:trPr>
        body 8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 Service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Genmed (count)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100,120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Orthopaedics (count)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34,665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Psych (count)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31,870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Rehabilitation (count)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17,657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Neurosurgery (count)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5,449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Palliative medicine (count)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3,739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Geriatrics (count)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2,145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Psychogeriatric (count)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628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Spinal (count)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(count)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390,849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307,020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124,438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82,657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910,905</w:t>
            </w:r>
          </w:p>
        </w:tc>
      </w:tr>
      <w:tr>
        <w:trPr>
          <w:trHeight w:val="360" w:hRule="auto"/>
        </w:trPr>
        body18
        <w:tc>
          <w:tcPr>
            <w:vMerge w:val="restart"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Admission Source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Emergency department - this hospital (count)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128,782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182,224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77,243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84,570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476,809</w:t>
            </w:r>
          </w:p>
        </w:tc>
      </w:tr>
      <w:tr>
        <w:trPr>
          <w:trHeight w:val="360" w:hRule="auto"/>
        </w:trPr>
        body19
        <w:tc>
          <w:tcPr>
            <w:vMerge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Outpatient department - this hospital (count)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208,239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91,621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371,689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Routine readmission no referral required (count)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84,698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25,576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181,078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Admitted pt transferred from other hosp (count)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28,107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 medical practitioner (not psych) (count)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12,221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Residential aged care service (count)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2,166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Community service (count)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2,130</w:t>
            </w:r>
          </w:p>
        </w:tc>
      </w:tr>
      <w:tr>
        <w:trPr>
          <w:trHeight w:val="360" w:hRule="auto"/>
        </w:trPr>
        body25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(count)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16,471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33,356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2023-11-04T16:16:03Z</dcterms:modified>
  <cp:category/>
</cp:coreProperties>
</file>