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spacing w:line="360" w:lineRule="auto"/>
        <w:rPr>
          <w:rFonts w:eastAsia="楷体_GB2312"/>
        </w:rPr>
      </w:pPr>
    </w:p>
    <w:sectPr>
      <w:headerReference r:id="rId3" w:type="default"/>
      <w:footerReference r:id="rId4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03533B2B"/>
    <w:rsid w:val="18A5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77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2020-11-21T10:14:59Z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