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黑体" w:hAnsi="黑体" w:eastAsia="黑体"/>
          <w:b/>
          <w:szCs w:val="21"/>
        </w:rPr>
      </w:pPr>
      <w:r>
        <w:rPr>
          <w:rFonts w:ascii="黑体" w:hAnsi="黑体" w:eastAsia="黑体"/>
          <w:b/>
          <w:szCs w:val="21"/>
        </w:rPr>
        <w:pict>
          <v:shape id="_x0000_s1026" o:spid="_x0000_s1026" o:spt="75" type="#_x0000_t75" style="position:absolute;left:0pt;margin-left:811pt;margin-top:914pt;height:31pt;width:21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Fonts w:ascii="黑体" w:hAnsi="黑体" w:eastAsia="黑体"/>
          <w:b/>
          <w:szCs w:val="21"/>
        </w:rPr>
        <w:t>绝密</w:t>
      </w:r>
      <w:r>
        <w:rPr>
          <w:rFonts w:hint="eastAsia" w:ascii="黑体" w:hAnsi="黑体" w:eastAsia="黑体" w:cs="宋体"/>
          <w:b/>
          <w:szCs w:val="21"/>
        </w:rPr>
        <w:t>★</w:t>
      </w:r>
      <w:r>
        <w:rPr>
          <w:rFonts w:ascii="黑体" w:hAnsi="黑体" w:eastAsia="黑体"/>
          <w:b/>
          <w:szCs w:val="21"/>
        </w:rPr>
        <w:t>启用前</w:t>
      </w:r>
    </w:p>
    <w:p>
      <w:pPr>
        <w:pStyle w:val="2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年普通高等学校招生全国统一考试（全国</w:t>
      </w:r>
      <w:r>
        <w:rPr>
          <w:rFonts w:hAnsi="宋体"/>
        </w:rPr>
        <w:t>Ⅱ</w:t>
      </w:r>
      <w:r>
        <w:rPr>
          <w:rFonts w:ascii="Times New Roman" w:hAnsi="Times New Roman"/>
        </w:rPr>
        <w:t>卷）</w:t>
      </w:r>
    </w:p>
    <w:p>
      <w:pPr>
        <w:pStyle w:val="2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文</w:t>
      </w:r>
      <w:r>
        <w:rPr>
          <w:rFonts w:ascii="Times New Roman" w:hAnsi="Times New Roman"/>
        </w:rPr>
        <w:t>科数学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学科网" type="#_x0000_t75" style="height:15.6pt;width:69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学科网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学科网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学科网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学科网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学科网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学科网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学科网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6．设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)为奇函数，且当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≥0时，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)=</w:t>
      </w:r>
      <w:r>
        <w:rPr>
          <w:rFonts w:eastAsiaTheme="minorEastAsia"/>
          <w:color w:val="000000"/>
          <w:position w:val="-6"/>
        </w:rPr>
        <w:object>
          <v:shape id="_x0000_i1035" o:spt="75" alt="学科网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eastAsiaTheme="minorEastAsia"/>
          <w:color w:val="000000"/>
        </w:rPr>
        <w:t>，则当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&lt;0时，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)=</w:t>
      </w:r>
    </w:p>
    <w:p>
      <w:pPr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A．</w:t>
      </w:r>
      <w:r>
        <w:rPr>
          <w:rFonts w:eastAsiaTheme="minorEastAsia"/>
          <w:color w:val="000000"/>
          <w:position w:val="-6"/>
        </w:rPr>
        <w:object>
          <v:shape id="_x0000_i1036" o:spt="75" alt="学科网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eastAsiaTheme="minorEastAsia"/>
          <w:color w:val="000000"/>
        </w:rPr>
        <w:t>B．</w:t>
      </w:r>
      <w:r>
        <w:rPr>
          <w:rFonts w:eastAsiaTheme="minorEastAsia"/>
          <w:color w:val="000000"/>
          <w:position w:val="-6"/>
        </w:rPr>
        <w:object>
          <v:shape id="_x0000_i1037" o:spt="75" alt="学科网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eastAsiaTheme="minorEastAsia"/>
          <w:color w:val="000000"/>
        </w:rPr>
        <w:tab/>
      </w:r>
    </w:p>
    <w:p>
      <w:pPr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C．</w:t>
      </w:r>
      <w:r>
        <w:rPr>
          <w:rFonts w:eastAsiaTheme="minorEastAsia"/>
          <w:color w:val="000000"/>
          <w:position w:val="-6"/>
        </w:rPr>
        <w:object>
          <v:shape id="_x0000_i1038" o:spt="75" alt="学科网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eastAsiaTheme="minorEastAsia"/>
          <w:color w:val="000000"/>
        </w:rPr>
        <w:t>D．</w:t>
      </w:r>
      <w:r>
        <w:rPr>
          <w:rFonts w:eastAsiaTheme="minorEastAsia"/>
          <w:color w:val="000000"/>
          <w:position w:val="-6"/>
        </w:rPr>
        <w:object>
          <v:shape id="_x0000_i1039" o:spt="75" alt="学科网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</w:p>
    <w:p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7．设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为两个平面，则</w:t>
      </w:r>
      <w:r>
        <w:rPr>
          <w:rFonts w:eastAsiaTheme="minorEastAsia"/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的充要条件是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内有无数条直线与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B．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内有两条相交直线与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平行于同一条直线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D．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学科网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学科网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学科网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学科网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学科网" type="#_x0000_t75" style="height:35.4pt;width:59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学科网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学科网" type="#_x0000_t75" style="height:15.6pt;width:89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学科网" type="#_x0000_t75" style="height:15.6pt;width:89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学科网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11．已知</w:t>
      </w:r>
      <w:r>
        <w:rPr>
          <w:rFonts w:eastAsiaTheme="minorEastAsia"/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rFonts w:eastAsiaTheme="minorEastAsia"/>
          <w:snapToGrid w:val="0"/>
          <w:kern w:val="0"/>
        </w:rPr>
        <w:t>（0，</w:t>
      </w:r>
      <w:r>
        <w:rPr>
          <w:rFonts w:eastAsiaTheme="minorEastAsia"/>
          <w:snapToGrid w:val="0"/>
          <w:kern w:val="0"/>
        </w:rPr>
        <w:object>
          <v:shape id="_x0000_i1052" o:spt="75" type="#_x0000_t75" style="height:27.6pt;width:11.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A．</w:t>
      </w:r>
      <w:r>
        <w:rPr>
          <w:rFonts w:eastAsiaTheme="minorEastAsia"/>
          <w:snapToGrid w:val="0"/>
          <w:kern w:val="0"/>
        </w:rPr>
        <w:object>
          <v:shape id="_x0000_i1053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27.6pt;width:10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B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4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1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C．</w:t>
      </w:r>
      <w:r>
        <w:rPr>
          <w:rFonts w:eastAsiaTheme="minorEastAsia"/>
          <w:snapToGrid w:val="0"/>
          <w:kern w:val="0"/>
        </w:rPr>
        <w:object>
          <v:shape id="_x0000_i1055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1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D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6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2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rFonts w:eastAsiaTheme="minorEastAsia"/>
          <w:snapToGrid w:val="0"/>
          <w:kern w:val="0"/>
          <w:sz w:val="24"/>
          <w:szCs w:val="24"/>
        </w:rPr>
      </w:pPr>
      <w:r>
        <w:rPr>
          <w:rFonts w:eastAsiaTheme="minorEastAsia"/>
          <w:snapToGrid w:val="0"/>
          <w:kern w:val="0"/>
        </w:rPr>
        <w:t>12．设</w:t>
      </w:r>
      <w:r>
        <w:rPr>
          <w:rFonts w:eastAsiaTheme="minorEastAsia"/>
          <w:i/>
          <w:snapToGrid w:val="0"/>
          <w:kern w:val="0"/>
          <w:sz w:val="24"/>
          <w:szCs w:val="24"/>
        </w:rPr>
        <w:t>F</w:t>
      </w:r>
      <w:r>
        <w:rPr>
          <w:rFonts w:eastAsiaTheme="minorEastAsia"/>
          <w:snapToGrid w:val="0"/>
          <w:kern w:val="0"/>
          <w:sz w:val="24"/>
          <w:szCs w:val="24"/>
        </w:rPr>
        <w:t>为双曲线</w:t>
      </w:r>
      <w:r>
        <w:rPr>
          <w:rFonts w:eastAsiaTheme="minorEastAsia"/>
          <w:i/>
          <w:snapToGrid w:val="0"/>
          <w:kern w:val="0"/>
          <w:sz w:val="24"/>
          <w:szCs w:val="24"/>
        </w:rPr>
        <w:t>C</w:t>
      </w:r>
      <w:r>
        <w:rPr>
          <w:rFonts w:eastAsiaTheme="minorEastAsia"/>
          <w:snapToGrid w:val="0"/>
          <w:kern w:val="0"/>
          <w:sz w:val="24"/>
          <w:szCs w:val="24"/>
        </w:rPr>
        <w:t>：</w:t>
      </w:r>
      <w:r>
        <w:rPr>
          <w:rFonts w:eastAsiaTheme="minorEastAsia"/>
          <w:snapToGrid w:val="0"/>
          <w:kern w:val="0"/>
          <w:sz w:val="24"/>
          <w:szCs w:val="24"/>
        </w:rPr>
        <w:object>
          <v:shape id="_x0000_i1057" o:spt="75" type="#_x0000_t75" style="height:30.6pt;width:51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eastAsiaTheme="minorEastAsia"/>
          <w:snapToGrid w:val="0"/>
          <w:kern w:val="0"/>
          <w:sz w:val="24"/>
          <w:szCs w:val="24"/>
        </w:rPr>
        <w:t>（</w:t>
      </w:r>
      <w:r>
        <w:rPr>
          <w:rFonts w:eastAsiaTheme="minorEastAsia"/>
          <w:i/>
          <w:snapToGrid w:val="0"/>
          <w:kern w:val="0"/>
          <w:sz w:val="24"/>
          <w:szCs w:val="24"/>
        </w:rPr>
        <w:t>a</w:t>
      </w:r>
      <w:r>
        <w:rPr>
          <w:rFonts w:eastAsiaTheme="minorEastAsia"/>
          <w:snapToGrid w:val="0"/>
          <w:kern w:val="0"/>
          <w:sz w:val="24"/>
          <w:szCs w:val="24"/>
        </w:rPr>
        <w:t>&gt;0，</w:t>
      </w:r>
      <w:r>
        <w:rPr>
          <w:rFonts w:eastAsiaTheme="minorEastAsia"/>
          <w:i/>
          <w:snapToGrid w:val="0"/>
          <w:kern w:val="0"/>
          <w:sz w:val="24"/>
          <w:szCs w:val="24"/>
        </w:rPr>
        <w:t>b</w:t>
      </w:r>
      <w:r>
        <w:rPr>
          <w:rFonts w:eastAsiaTheme="minorEastAsia"/>
          <w:snapToGrid w:val="0"/>
          <w:kern w:val="0"/>
          <w:sz w:val="24"/>
          <w:szCs w:val="24"/>
        </w:rPr>
        <w:t>&gt;0）的右焦点，</w:t>
      </w:r>
      <w:r>
        <w:rPr>
          <w:rFonts w:eastAsiaTheme="minorEastAsia"/>
          <w:i/>
          <w:snapToGrid w:val="0"/>
          <w:kern w:val="0"/>
          <w:sz w:val="24"/>
          <w:szCs w:val="24"/>
        </w:rPr>
        <w:t>O</w:t>
      </w:r>
      <w:r>
        <w:rPr>
          <w:rFonts w:eastAsiaTheme="minorEastAsia"/>
          <w:snapToGrid w:val="0"/>
          <w:kern w:val="0"/>
          <w:sz w:val="24"/>
          <w:szCs w:val="24"/>
        </w:rPr>
        <w:t>为坐标原点，以</w:t>
      </w:r>
      <w:r>
        <w:rPr>
          <w:rFonts w:eastAsiaTheme="minorEastAsia"/>
          <w:i/>
          <w:snapToGrid w:val="0"/>
          <w:kern w:val="0"/>
          <w:sz w:val="24"/>
          <w:szCs w:val="24"/>
        </w:rPr>
        <w:t>OF</w:t>
      </w:r>
      <w:r>
        <w:rPr>
          <w:rFonts w:eastAsiaTheme="minorEastAsia"/>
          <w:snapToGrid w:val="0"/>
          <w:kern w:val="0"/>
          <w:sz w:val="24"/>
          <w:szCs w:val="24"/>
        </w:rPr>
        <w:t>为直径的圆与圆</w:t>
      </w:r>
      <w:r>
        <w:rPr>
          <w:rFonts w:eastAsiaTheme="minorEastAsia"/>
          <w:i/>
          <w:snapToGrid w:val="0"/>
          <w:kern w:val="0"/>
          <w:sz w:val="24"/>
          <w:szCs w:val="24"/>
        </w:rPr>
        <w:t>x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+</w:t>
      </w:r>
      <w:r>
        <w:rPr>
          <w:rFonts w:eastAsiaTheme="minorEastAsia"/>
          <w:i/>
          <w:snapToGrid w:val="0"/>
          <w:kern w:val="0"/>
          <w:sz w:val="24"/>
          <w:szCs w:val="24"/>
        </w:rPr>
        <w:t>y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=</w:t>
      </w:r>
      <w:r>
        <w:rPr>
          <w:rFonts w:eastAsiaTheme="minorEastAsia"/>
          <w:i/>
          <w:snapToGrid w:val="0"/>
          <w:kern w:val="0"/>
          <w:sz w:val="24"/>
          <w:szCs w:val="24"/>
        </w:rPr>
        <w:t>a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交于</w:t>
      </w:r>
      <w:r>
        <w:rPr>
          <w:rFonts w:eastAsiaTheme="minorEastAsia"/>
          <w:i/>
          <w:snapToGrid w:val="0"/>
          <w:kern w:val="0"/>
          <w:sz w:val="24"/>
          <w:szCs w:val="24"/>
        </w:rPr>
        <w:t>P</w:t>
      </w:r>
      <w:r>
        <w:rPr>
          <w:rFonts w:eastAsiaTheme="minorEastAsia"/>
          <w:snapToGrid w:val="0"/>
          <w:kern w:val="0"/>
          <w:sz w:val="24"/>
          <w:szCs w:val="24"/>
        </w:rPr>
        <w:t>、</w:t>
      </w:r>
      <w:r>
        <w:rPr>
          <w:rFonts w:eastAsiaTheme="minorEastAsia"/>
          <w:i/>
          <w:snapToGrid w:val="0"/>
          <w:kern w:val="0"/>
          <w:sz w:val="24"/>
          <w:szCs w:val="24"/>
        </w:rPr>
        <w:t>Q</w:t>
      </w:r>
      <w:r>
        <w:rPr>
          <w:rFonts w:eastAsiaTheme="minorEastAsia"/>
          <w:snapToGrid w:val="0"/>
          <w:kern w:val="0"/>
          <w:sz w:val="24"/>
          <w:szCs w:val="24"/>
        </w:rPr>
        <w:t>两点</w:t>
      </w:r>
      <w:r>
        <w:rPr>
          <w:rFonts w:hint="eastAsia" w:eastAsiaTheme="minorEastAsia"/>
          <w:snapToGrid w:val="0"/>
          <w:kern w:val="0"/>
          <w:sz w:val="24"/>
          <w:szCs w:val="24"/>
        </w:rPr>
        <w:t>．</w:t>
      </w:r>
      <w:r>
        <w:rPr>
          <w:rFonts w:eastAsiaTheme="minorEastAsia"/>
          <w:snapToGrid w:val="0"/>
          <w:kern w:val="0"/>
          <w:sz w:val="24"/>
          <w:szCs w:val="24"/>
        </w:rPr>
        <w:t>若|</w:t>
      </w:r>
      <w:r>
        <w:rPr>
          <w:rFonts w:eastAsiaTheme="minorEastAsia"/>
          <w:i/>
          <w:snapToGrid w:val="0"/>
          <w:kern w:val="0"/>
          <w:sz w:val="24"/>
          <w:szCs w:val="24"/>
        </w:rPr>
        <w:t>PQ</w:t>
      </w:r>
      <w:r>
        <w:rPr>
          <w:rFonts w:eastAsiaTheme="minorEastAsia"/>
          <w:snapToGrid w:val="0"/>
          <w:kern w:val="0"/>
          <w:sz w:val="24"/>
          <w:szCs w:val="24"/>
        </w:rPr>
        <w:t>|=|</w:t>
      </w:r>
      <w:r>
        <w:rPr>
          <w:rFonts w:eastAsiaTheme="minorEastAsia"/>
          <w:i/>
          <w:snapToGrid w:val="0"/>
          <w:kern w:val="0"/>
          <w:sz w:val="24"/>
          <w:szCs w:val="24"/>
        </w:rPr>
        <w:t>OF</w:t>
      </w:r>
      <w:r>
        <w:rPr>
          <w:rFonts w:eastAsiaTheme="minorEastAsia"/>
          <w:snapToGrid w:val="0"/>
          <w:kern w:val="0"/>
          <w:sz w:val="24"/>
          <w:szCs w:val="24"/>
        </w:rPr>
        <w:t>|，则</w:t>
      </w:r>
      <w:r>
        <w:rPr>
          <w:rFonts w:eastAsiaTheme="minorEastAsia"/>
          <w:i/>
          <w:snapToGrid w:val="0"/>
          <w:kern w:val="0"/>
          <w:sz w:val="24"/>
          <w:szCs w:val="24"/>
        </w:rPr>
        <w:t>C</w:t>
      </w:r>
      <w:r>
        <w:rPr>
          <w:rFonts w:eastAsiaTheme="minorEastAsia"/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A．</w:t>
      </w:r>
      <w:r>
        <w:rPr>
          <w:rFonts w:eastAsiaTheme="minorEastAsia"/>
          <w:snapToGrid w:val="0"/>
          <w:kern w:val="0"/>
        </w:rPr>
        <w:object>
          <v:shape id="_x0000_i1058" o:spt="75" type="#_x0000_t75" style="height:15.6pt;width:16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B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9" o:spt="75" alt="eqWmf183GmgAAAAAAACACAAICCQAAAAAzXgEACQAAA6IBAAAHAI4AAAAAAAUAAAACAQEAAAAFAAAAAQL/&#10;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  <w:sz w:val="24"/>
          <w:szCs w:val="24"/>
        </w:rPr>
      </w:pPr>
      <w:r>
        <w:rPr>
          <w:rFonts w:hint="eastAsia" w:eastAsiaTheme="minorEastAsia"/>
          <w:snapToGrid w:val="0"/>
          <w:kern w:val="0"/>
        </w:rPr>
        <w:t>C</w:t>
      </w:r>
      <w:r>
        <w:rPr>
          <w:rFonts w:eastAsiaTheme="minorEastAsia"/>
          <w:snapToGrid w:val="0"/>
          <w:kern w:val="0"/>
        </w:rPr>
        <w:t>．2</w: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D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60" o:spt="75" alt="eqWmf183GmgAAAAAAACACAAICCQAAAAAzXgEACQAAA6IBAAAHAI4AAAAAAAUAAAACAQEAAAAFAAAAAQL/&#10;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" type="#_x0000_t75" style="height:15.6pt;width:16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</w:p>
    <w:p>
      <w:pPr>
        <w:pStyle w:val="22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hint="eastAsia" w:ascii="Times New Roman" w:hAnsi="Times New Roman" w:eastAsia="黑体"/>
          <w:kern w:val="0"/>
          <w:szCs w:val="21"/>
        </w:rPr>
        <w:t>二、</w:t>
      </w:r>
      <w:r>
        <w:rPr>
          <w:rFonts w:ascii="Times New Roman" w:hAnsi="Times New Roman" w:eastAsia="黑体"/>
          <w:kern w:val="0"/>
          <w:szCs w:val="21"/>
        </w:rPr>
        <w:t>填空题：本题共4小题，每小题5分，共20分</w:t>
      </w:r>
      <w:r>
        <w:rPr>
          <w:kern w:val="0"/>
          <w:szCs w:val="21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13．若变量</w:t>
      </w:r>
      <w:r>
        <w:rPr>
          <w:rFonts w:eastAsiaTheme="minorEastAsia"/>
          <w:i/>
          <w:snapToGrid w:val="0"/>
          <w:kern w:val="0"/>
          <w:szCs w:val="21"/>
        </w:rPr>
        <w:t>x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y</w:t>
      </w:r>
      <w:r>
        <w:rPr>
          <w:rFonts w:eastAsiaTheme="minorEastAsia"/>
          <w:snapToGrid w:val="0"/>
          <w:kern w:val="0"/>
          <w:szCs w:val="21"/>
        </w:rPr>
        <w:t>满足约束条件</w:t>
      </w:r>
      <w:r>
        <w:rPr>
          <w:rFonts w:eastAsiaTheme="minorEastAsia"/>
          <w:snapToGrid w:val="0"/>
          <w:kern w:val="0"/>
          <w:szCs w:val="21"/>
        </w:rPr>
        <w:object>
          <v:shape id="_x0000_i1061" o:spt="75" type="#_x0000_t75" style="height:48.6pt;width:74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eastAsiaTheme="minorEastAsia"/>
          <w:snapToGrid w:val="0"/>
          <w:kern w:val="0"/>
          <w:szCs w:val="21"/>
        </w:rPr>
        <w:t>则</w:t>
      </w:r>
      <w:r>
        <w:rPr>
          <w:rFonts w:eastAsiaTheme="minorEastAsia"/>
          <w:i/>
          <w:snapToGrid w:val="0"/>
          <w:kern w:val="0"/>
          <w:szCs w:val="21"/>
        </w:rPr>
        <w:t>z</w:t>
      </w:r>
      <w:r>
        <w:rPr>
          <w:rFonts w:eastAsiaTheme="minorEastAsia"/>
          <w:snapToGrid w:val="0"/>
          <w:kern w:val="0"/>
          <w:szCs w:val="21"/>
        </w:rPr>
        <w:t>=3</w:t>
      </w:r>
      <w:r>
        <w:rPr>
          <w:rFonts w:eastAsiaTheme="minorEastAsia"/>
          <w:i/>
          <w:snapToGrid w:val="0"/>
          <w:kern w:val="0"/>
          <w:szCs w:val="21"/>
        </w:rPr>
        <w:t>x</w:t>
      </w:r>
      <w:r>
        <w:rPr>
          <w:rFonts w:eastAsiaTheme="minorEastAsia"/>
          <w:snapToGrid w:val="0"/>
          <w:kern w:val="0"/>
          <w:szCs w:val="21"/>
        </w:rPr>
        <w:t>–</w:t>
      </w:r>
      <w:r>
        <w:rPr>
          <w:rFonts w:eastAsiaTheme="minorEastAsia"/>
          <w:i/>
          <w:snapToGrid w:val="0"/>
          <w:kern w:val="0"/>
          <w:szCs w:val="21"/>
        </w:rPr>
        <w:t>y</w:t>
      </w:r>
      <w:r>
        <w:rPr>
          <w:rFonts w:eastAsiaTheme="minorEastAsia"/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14．我国高铁发展迅速，技术先进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15．</w:t>
      </w:r>
      <w:r>
        <w:rPr>
          <w:rFonts w:eastAsiaTheme="minorEastAsia"/>
          <w:snapToGrid w:val="0"/>
          <w:kern w:val="0"/>
          <w:szCs w:val="21"/>
        </w:rPr>
        <w:object>
          <v:shape id="_x0000_i1062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eastAsiaTheme="minorEastAsia"/>
          <w:snapToGrid w:val="0"/>
          <w:kern w:val="0"/>
          <w:szCs w:val="21"/>
        </w:rPr>
        <w:t>的内角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的对边分别为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.已知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sin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+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cos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=0，则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 w:eastAsiaTheme="minorEastAsia"/>
          <w:snapToGrid w:val="0"/>
          <w:kern w:val="0"/>
          <w:szCs w:val="21"/>
        </w:rPr>
        <w:t>.</w:t>
      </w:r>
      <w:r>
        <w:rPr>
          <w:rFonts w:eastAsiaTheme="minorEastAsia"/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 w:eastAsiaTheme="minorEastAsia"/>
          <w:snapToGrid w:val="0"/>
          <w:kern w:val="0"/>
          <w:szCs w:val="21"/>
        </w:rPr>
        <w:t>.</w:t>
      </w:r>
      <w:r>
        <w:rPr>
          <w:rFonts w:eastAsiaTheme="minorEastAsia"/>
          <w:snapToGrid w:val="0"/>
          <w:kern w:val="0"/>
          <w:szCs w:val="21"/>
        </w:rPr>
        <w:t>半正多面体体现了数学的对称美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则该半正多面体共有________个面，其棱长为_________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（本题第一空2分，第二空3分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rFonts w:eastAsiaTheme="minorEastAsia"/>
          <w:kern w:val="0"/>
          <w:szCs w:val="21"/>
        </w:rPr>
        <w:drawing>
          <wp:inline distT="0" distB="0" distL="0" distR="0">
            <wp:extent cx="230505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1323975" cy="1819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3" o:spt="75" type="#_x0000_t75" style="height:14.4pt;width: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4" o:spt="75" type="#_x0000_t75" style="height:18pt;width:59.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6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68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69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8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0" o:spt="75" type="#_x0000_t75" style="height:12.6pt;width:11.4pt;" o:ole="t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101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1" o:spt="75" type="#_x0000_t75" style="height:15.6pt;width:51pt;" o:ole="t" filled="f" o:preferrelative="t" stroked="f" coordsize="21600,21600">
                  <v:path/>
                  <v:fill on="f" focussize="0,0"/>
                  <v:stroke on="f" joinstyle="miter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103">
                  <o:LockedField>false</o:LockedField>
                </o:OLEObject>
              </w:object>
            </w:r>
          </w:p>
        </w:tc>
        <w:tc>
          <w:tcPr>
            <w:tcW w:w="158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2" o:spt="75" type="#_x0000_t75" style="height:15.6pt;width:41.4pt;" o:ole="t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105">
                  <o:LockedField>false</o:LockedField>
                </o:OLEObject>
              </w:object>
            </w:r>
          </w:p>
        </w:tc>
        <w:tc>
          <w:tcPr>
            <w:tcW w:w="1619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7">
                  <o:LockedField>false</o:LockedField>
                </o:OLEObject>
              </w:objec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9">
                  <o:LockedField>false</o:LockedField>
                </o:OLEObject>
              </w:objec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6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3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7" o:spt="75" type="#_x0000_t75" style="height:18pt;width:29.4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7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79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0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2" o:spt="75" type="#_x0000_t75" style="height:15.6pt;width:117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3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4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5" o:spt="75" type="#_x0000_t75" style="height:18pt;width:89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6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7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88" o:spt="75" type="#_x0000_t75" style="height:14.4pt;width:2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89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1" o:spt="75" type="#_x0000_t75" style="height:15.6pt;width:153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22"/>
        <w:spacing w:line="360" w:lineRule="auto"/>
        <w:ind w:left="424" w:leftChars="202" w:firstLine="0"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position w:val="-6"/>
        </w:rPr>
        <w:object>
          <v:shape id="_x0000_i1092" o:spt="75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求不等式</w:t>
      </w:r>
      <w:r>
        <w:rPr>
          <w:position w:val="-10"/>
        </w:rPr>
        <w:object>
          <v:shape id="_x0000_i1093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解集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4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5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  <w:ind w:left="424" w:leftChars="202"/>
        <w:rPr>
          <w:kern w:val="0"/>
          <w:szCs w:val="21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077" w:bottom="1418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D9"/>
    <w:rsid w:val="009601B4"/>
    <w:rsid w:val="00B60DD9"/>
    <w:rsid w:val="51BB1186"/>
    <w:rsid w:val="7BFA6D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99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  <w:rPr>
      <w:szCs w:val="24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10">
    <w:name w:val="Strong"/>
    <w:qFormat/>
    <w:uiPriority w:val="0"/>
    <w:rPr>
      <w:b/>
      <w:bCs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sub_title s0"/>
    <w:basedOn w:val="9"/>
    <w:qFormat/>
    <w:uiPriority w:val="0"/>
  </w:style>
  <w:style w:type="character" w:customStyle="1" w:styleId="15">
    <w:name w:val="页码1"/>
    <w:basedOn w:val="9"/>
    <w:qFormat/>
    <w:uiPriority w:val="0"/>
  </w:style>
  <w:style w:type="paragraph" w:customStyle="1" w:styleId="16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8">
    <w:name w:val="Char3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9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0">
    <w:name w:val="p0"/>
    <w:basedOn w:val="1"/>
    <w:qFormat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21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oleObject" Target="embeddings/oleObject43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png"/><Relationship Id="rId86" Type="http://schemas.openxmlformats.org/officeDocument/2006/relationships/image" Target="media/image39.png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6" Type="http://schemas.openxmlformats.org/officeDocument/2006/relationships/fontTable" Target="fontTable.xml"/><Relationship Id="rId155" Type="http://schemas.openxmlformats.org/officeDocument/2006/relationships/customXml" Target="../customXml/item1.xml"/><Relationship Id="rId154" Type="http://schemas.openxmlformats.org/officeDocument/2006/relationships/image" Target="media/image73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6.wmf"/><Relationship Id="rId14" Type="http://schemas.openxmlformats.org/officeDocument/2006/relationships/image" Target="media/image3.wmf"/><Relationship Id="rId139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2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1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49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1245</Words>
  <Characters>7097</Characters>
  <Lines>59</Lines>
  <Paragraphs>16</Paragraphs>
  <TotalTime>1</TotalTime>
  <ScaleCrop>false</ScaleCrop>
  <LinksUpToDate>false</LinksUpToDate>
  <CharactersWithSpaces>8326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2019-06-08T03:31:00Z</dcterms:created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terms:modified xsi:type="dcterms:W3CDTF">2020-11-27T15:53:38Z</dcterms:modified>
  <dc:subject>（解析版）2014年高考山东卷英语试题解析（精编版）.doc</dc:subject>
  <dc:title>（解析版）2014年高考山东卷英语试题解析（精编版）.doc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