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华文中宋"/>
          <w:b/>
          <w:kern w:val="0"/>
          <w:sz w:val="36"/>
          <w:szCs w:val="44"/>
        </w:rPr>
      </w:pPr>
      <w:r>
        <w:rPr>
          <w:rFonts w:ascii="Times New Roman" w:hAnsi="Times New Roman" w:eastAsia="华文中宋"/>
          <w:b/>
          <w:kern w:val="0"/>
          <w:sz w:val="36"/>
          <w:szCs w:val="44"/>
        </w:rPr>
        <w:t>2017上海市普通高中学业水平等级性考试</w:t>
      </w:r>
    </w:p>
    <w:p>
      <w:pPr>
        <w:spacing w:line="360" w:lineRule="auto"/>
        <w:jc w:val="center"/>
        <w:rPr>
          <w:rFonts w:ascii="Times New Roman" w:hAnsi="Times New Roman" w:eastAsia="华文中宋"/>
          <w:b/>
          <w:kern w:val="0"/>
          <w:sz w:val="36"/>
          <w:szCs w:val="44"/>
        </w:rPr>
      </w:pPr>
      <w:r>
        <w:rPr>
          <w:rFonts w:ascii="Times New Roman" w:hAnsi="Times New Roman" w:eastAsia="华文中宋"/>
          <w:b/>
          <w:kern w:val="0"/>
          <w:sz w:val="36"/>
          <w:szCs w:val="44"/>
        </w:rPr>
        <w:t>生物试卷</w:t>
      </w:r>
    </w:p>
    <w:p>
      <w:pPr>
        <w:spacing w:line="360" w:lineRule="auto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考生注意：</w:t>
      </w:r>
    </w:p>
    <w:p>
      <w:pPr>
        <w:spacing w:line="360" w:lineRule="auto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1</w:t>
      </w:r>
      <w:r>
        <w:rPr>
          <w:rFonts w:ascii="Times New Roman" w:hAnsi="Times New Roman" w:eastAsia="华文中宋"/>
          <w:b/>
          <w:szCs w:val="21"/>
        </w:rPr>
        <w:t>．试卷满分100分，考试时间60分钟。</w:t>
      </w:r>
    </w:p>
    <w:p>
      <w:pPr>
        <w:spacing w:line="360" w:lineRule="auto"/>
        <w:ind w:left="309" w:hanging="309" w:hangingChars="147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2．本考试分设试卷和答题纸。试卷包括两部分，第一部分全部为选择题，第二部分为综合分析题，包括填空题、选择题和简答题等题型。</w:t>
      </w:r>
    </w:p>
    <w:p>
      <w:pPr>
        <w:spacing w:line="360" w:lineRule="auto"/>
        <w:rPr>
          <w:rFonts w:ascii="Times New Roman" w:hAnsi="Times New Roman" w:eastAsia="华文中宋"/>
          <w:b/>
          <w:bCs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4983480</wp:posOffset>
            </wp:positionH>
            <wp:positionV relativeFrom="paragraph">
              <wp:posOffset>167640</wp:posOffset>
            </wp:positionV>
            <wp:extent cx="1097280" cy="967105"/>
            <wp:effectExtent l="0" t="0" r="7620" b="4445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b/>
          <w:bCs/>
          <w:szCs w:val="21"/>
        </w:rPr>
        <w:t>3．考生应用2B铅笔、钢笔或圆珠笔将答案直接写在答题纸上</w:t>
      </w:r>
    </w:p>
    <w:p>
      <w:pPr>
        <w:spacing w:line="360" w:lineRule="auto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一、选择题（共40分，每小题2分，每小题只有一个正确答案）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1、图1所示生物不具有细胞结构，该生物属于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kern w:val="0"/>
          <w:szCs w:val="21"/>
        </w:rPr>
        <w:t>A. 动物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kern w:val="0"/>
          <w:szCs w:val="21"/>
        </w:rPr>
        <w:t>B. RNA病毒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kern w:val="0"/>
          <w:szCs w:val="21"/>
        </w:rPr>
        <w:t>C. 植物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kern w:val="0"/>
          <w:szCs w:val="21"/>
        </w:rPr>
        <w:t>D. DNA病毒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2、食物中的蛋白质需要消化为氨基酸才能被吸收，该消化过程中断开的化学键是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2545080" cy="9829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A. </w:t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C. </w:t>
      </w: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D. </w:t>
      </w:r>
      <w:r>
        <w:rPr>
          <w:rFonts w:hint="eastAsia" w:ascii="宋体" w:hAnsi="宋体" w:cs="宋体"/>
          <w:szCs w:val="21"/>
        </w:rPr>
        <w:t>④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3、在“观察蚕豆叶下表皮”实验中，低倍镜视野下观测到保卫细胞位于视野右下角，欲在高倍镜视野下进一步清晰观察该细胞，下列操作中</w:t>
      </w:r>
      <w:r>
        <w:rPr>
          <w:rFonts w:ascii="Times New Roman" w:hAnsi="Times New Roman" w:eastAsia="华文中宋"/>
          <w:szCs w:val="21"/>
          <w:em w:val="dot"/>
        </w:rPr>
        <w:t>错误</w:t>
      </w:r>
      <w:r>
        <w:rPr>
          <w:rFonts w:ascii="Times New Roman" w:hAnsi="Times New Roman" w:eastAsia="华文中宋"/>
          <w:szCs w:val="21"/>
        </w:rPr>
        <w:t>的是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移动载玻片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换为低倍镜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换为高倍镜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调节细调节器</w:t>
      </w:r>
    </w:p>
    <w:tbl>
      <w:tblPr>
        <w:tblStyle w:val="5"/>
        <w:tblpPr w:leftFromText="180" w:rightFromText="180" w:vertAnchor="text" w:horzAnchor="page" w:tblpX="7141" w:tblpY="758"/>
        <w:tblOverlap w:val="never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371"/>
        <w:gridCol w:w="105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ind w:firstLine="315" w:firstLineChars="150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鉴定标本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鉴定用试剂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现象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双缩脲试剂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紫色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苏丹III染液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橘红色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班氏试剂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颜色不变</w:t>
            </w:r>
          </w:p>
        </w:tc>
      </w:tr>
    </w:tbl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4526280</wp:posOffset>
                </wp:positionH>
                <wp:positionV relativeFrom="paragraph">
                  <wp:posOffset>167640</wp:posOffset>
                </wp:positionV>
                <wp:extent cx="502920" cy="3124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jc w:val="left"/>
                              <w:textAlignment w:val="center"/>
                              <w:rPr>
                                <w:rFonts w:ascii="Times New Roman" w:hAnsi="Times New Roman" w:eastAsia="华文中宋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华文中宋"/>
                                <w:szCs w:val="21"/>
                              </w:rPr>
                              <w:t>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4pt;margin-top:13.2pt;height:24.6pt;width:39.6pt;mso-position-horizontal-relative:margin;z-index:251664384;mso-width-relative:page;mso-height-relative:page;" filled="f" stroked="f" coordsize="21600,21600" o:gfxdata="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bUFvNoAAAAJAQAADwAAAAAAAAABACAAAAAi&#10;AAAAZHJzL2Rvd25yZXYueG1sUEsBAhQAFAAAAAgAh07iQK62eZxBAgAAdQ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jc w:val="left"/>
                        <w:textAlignment w:val="center"/>
                        <w:rPr>
                          <w:rFonts w:ascii="Times New Roman" w:hAnsi="Times New Roman" w:eastAsia="华文中宋"/>
                          <w:szCs w:val="21"/>
                        </w:rPr>
                      </w:pPr>
                      <w:r>
                        <w:rPr>
                          <w:rFonts w:ascii="Times New Roman" w:hAnsi="Times New Roman" w:eastAsia="华文中宋"/>
                          <w:szCs w:val="21"/>
                        </w:rPr>
                        <w:t>表1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4、为了解某食品样液中的营养成分，对其做出三种规范的鉴定操作，得到相应现象如表1。由此判断该食品样液中至少含有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还原性糖和脂肪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B. 蛋白质和还原性糖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还原性糖、蛋白质、脂肪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蛋白质和脂肪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5、“探究细胞外界溶液浓度与质壁分离程度的关系”实验中，采用原生质层长度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B)与细胞长度(A)的比值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B/A)表示质壁分离程度，表2是某同学对4个洋葱表皮细胞A、B值测量后的处理结果，其中错误的是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095" w:firstLineChars="1950"/>
        <w:jc w:val="left"/>
        <w:textAlignment w:val="center"/>
        <w:rPr>
          <w:rFonts w:ascii="Times New Roman" w:hAnsi="Times New Roman" w:eastAsia="华文中宋"/>
          <w:szCs w:val="21"/>
        </w:rPr>
      </w:pP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759"/>
        <w:gridCol w:w="829"/>
        <w:gridCol w:w="899"/>
        <w:gridCol w:w="91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细胞I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细胞II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细胞III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细胞IV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B/A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1.2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0.9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0.7</w:t>
            </w:r>
          </w:p>
        </w:tc>
      </w:tr>
    </w:tbl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-955040</wp:posOffset>
                </wp:positionV>
                <wp:extent cx="502920" cy="3124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tabs>
                                <w:tab w:val="left" w:pos="2439"/>
                                <w:tab w:val="left" w:pos="4335"/>
                                <w:tab w:val="left" w:pos="6339"/>
                              </w:tabs>
                              <w:spacing w:line="360" w:lineRule="auto"/>
                              <w:jc w:val="left"/>
                              <w:textAlignment w:val="center"/>
                              <w:rPr>
                                <w:rFonts w:ascii="Times New Roman" w:hAnsi="Times New Roman" w:eastAsia="华文中宋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华文中宋"/>
                                <w:szCs w:val="21"/>
                              </w:rPr>
                              <w:t>表2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75.2pt;height:24.6pt;width:39.6pt;mso-position-horizontal:center;mso-position-horizontal-relative:margin;z-index:251665408;mso-width-relative:page;mso-height-relative:page;" filled="f" stroked="f" coordsize="21600,21600" o:gfxdata="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f3QbN2gAAAAkBAAAPAAAAAAAAAAEAIAAAACIA&#10;AABkcnMvZG93bnJldi54bWxQSwECFAAUAAAACACHTuJAi/W260ACAAB1BAAADgAAAAAAAAABACAA&#10;AAAp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439"/>
                          <w:tab w:val="left" w:pos="4335"/>
                          <w:tab w:val="left" w:pos="6339"/>
                        </w:tabs>
                        <w:spacing w:line="360" w:lineRule="auto"/>
                        <w:jc w:val="left"/>
                        <w:textAlignment w:val="center"/>
                        <w:rPr>
                          <w:rFonts w:ascii="Times New Roman" w:hAnsi="Times New Roman" w:eastAsia="华文中宋"/>
                          <w:szCs w:val="21"/>
                        </w:rPr>
                      </w:pPr>
                      <w:r>
                        <w:rPr>
                          <w:rFonts w:ascii="Times New Roman" w:hAnsi="Times New Roman" w:eastAsia="华文中宋"/>
                          <w:szCs w:val="21"/>
                        </w:rPr>
                        <w:t>表2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华文中宋"/>
          <w:szCs w:val="21"/>
        </w:rPr>
        <w:t>A. 细胞I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细胞II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细胞III</w:t>
      </w:r>
      <w:r>
        <w:rPr>
          <w:rFonts w:ascii="Times New Roman" w:hAnsi="Times New Roman" w:eastAsia="华文中宋"/>
          <w:szCs w:val="21"/>
        </w:rPr>
        <w:tab/>
      </w:r>
      <w:r>
        <w:rPr>
          <w:rFonts w:ascii="Times New Roman" w:hAnsi="Times New Roman" w:eastAsia="华文中宋"/>
          <w:szCs w:val="21"/>
        </w:rPr>
        <w:t>D. 细胞IV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6、视网膜色素变性患者，某基因得测序结果显示，与正常人相比，患者模板链的互补碱基序列发生了改变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图3)，据此可推断患者模板链上发生得碱基改变是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3870960" cy="609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G</w:t>
      </w:r>
      <w:r>
        <w:rPr>
          <w:rFonts w:hint="eastAsia" w:ascii="Times New Roman" w:hAnsi="Times New Roman" w:eastAsia="华文中宋"/>
          <w:szCs w:val="21"/>
        </w:rPr>
        <w:t>→</w:t>
      </w:r>
      <w:r>
        <w:rPr>
          <w:rFonts w:ascii="Times New Roman" w:hAnsi="Times New Roman" w:eastAsia="华文中宋"/>
          <w:szCs w:val="21"/>
        </w:rPr>
        <w:t>C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U</w:t>
      </w:r>
      <w:r>
        <w:rPr>
          <w:rFonts w:hint="eastAsia" w:ascii="Times New Roman" w:hAnsi="Times New Roman" w:eastAsia="华文中宋"/>
          <w:szCs w:val="21"/>
        </w:rPr>
        <w:t>→</w:t>
      </w:r>
      <w:r>
        <w:rPr>
          <w:rFonts w:ascii="Times New Roman" w:hAnsi="Times New Roman" w:eastAsia="华文中宋"/>
          <w:szCs w:val="21"/>
        </w:rPr>
        <w:t>T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G</w:t>
      </w:r>
      <w:r>
        <w:rPr>
          <w:rFonts w:hint="eastAsia" w:ascii="Times New Roman" w:hAnsi="Times New Roman" w:eastAsia="华文中宋"/>
          <w:szCs w:val="21"/>
        </w:rPr>
        <w:t>→</w:t>
      </w:r>
      <w:r>
        <w:rPr>
          <w:rFonts w:ascii="Times New Roman" w:hAnsi="Times New Roman" w:eastAsia="华文中宋"/>
          <w:szCs w:val="21"/>
        </w:rPr>
        <w:t>A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C</w:t>
      </w:r>
      <w:r>
        <w:rPr>
          <w:rFonts w:hint="eastAsia" w:ascii="Times New Roman" w:hAnsi="Times New Roman" w:eastAsia="华文中宋"/>
          <w:szCs w:val="21"/>
        </w:rPr>
        <w:t>→</w:t>
      </w:r>
      <w:r>
        <w:rPr>
          <w:rFonts w:ascii="Times New Roman" w:hAnsi="Times New Roman" w:eastAsia="华文中宋"/>
          <w:szCs w:val="21"/>
        </w:rPr>
        <w:t>T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7、病原微生物的表面抗原是疫苗制备的主要来源，下列构成病原微生物的组分中，最适用来制备疫苗的是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病毒衣壳蛋白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病毒ATP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病毒逆转录酶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病毒mRNA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8、皮肤和黏膜能阻挡多种病菌和病毒入侵机体，因此这两者属于机体的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特异性免疫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szCs w:val="21"/>
        </w:rPr>
        <w:t>先天性免疫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szCs w:val="21"/>
        </w:rPr>
        <w:t>非特异性免疫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hint="eastAsia" w:ascii="宋体" w:hAnsi="宋体" w:cs="宋体"/>
          <w:szCs w:val="21"/>
        </w:rPr>
        <w:t>④</w:t>
      </w:r>
      <w:r>
        <w:rPr>
          <w:rFonts w:ascii="Times New Roman" w:hAnsi="Times New Roman" w:eastAsia="华文中宋"/>
          <w:szCs w:val="21"/>
        </w:rPr>
        <w:t>获得性免疫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A. </w:t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、</w:t>
      </w:r>
      <w:r>
        <w:rPr>
          <w:rFonts w:hint="eastAsia" w:ascii="宋体" w:hAnsi="宋体" w:cs="宋体"/>
          <w:szCs w:val="21"/>
        </w:rPr>
        <w:t>④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C. </w:t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D. </w:t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szCs w:val="21"/>
        </w:rPr>
        <w:t>、</w:t>
      </w:r>
      <w:r>
        <w:rPr>
          <w:rFonts w:hint="eastAsia" w:ascii="宋体" w:hAnsi="宋体" w:cs="宋体"/>
          <w:szCs w:val="21"/>
        </w:rPr>
        <w:t>④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9、用“x”表示“没有”，“</w:t>
      </w:r>
      <w:r>
        <w:rPr>
          <w:rFonts w:ascii="Times New Roman" w:hAnsi="Times New Roman" w:eastAsia="华文中宋"/>
          <w:szCs w:val="21"/>
        </w:rPr>
        <w:sym w:font="Symbol" w:char="F0D6"/>
      </w:r>
      <w:r>
        <w:rPr>
          <w:rFonts w:ascii="Times New Roman" w:hAnsi="Times New Roman" w:eastAsia="华文中宋"/>
          <w:szCs w:val="21"/>
        </w:rPr>
        <w:t>”表示“有”，下列对原核细胞和真核细胞</w:t>
      </w:r>
      <w:r>
        <w:rPr>
          <w:rFonts w:hint="eastAsia" w:ascii="Times New Roman" w:hAnsi="Times New Roman" w:eastAsia="华文中宋"/>
          <w:szCs w:val="21"/>
        </w:rPr>
        <w:t>的</w:t>
      </w:r>
      <w:r>
        <w:rPr>
          <w:rFonts w:ascii="Times New Roman" w:hAnsi="Times New Roman" w:eastAsia="华文中宋"/>
          <w:szCs w:val="21"/>
        </w:rPr>
        <w:t>描述，正确的是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</w:t>
      </w:r>
      <w:r>
        <w:rPr>
          <w:rFonts w:ascii="Times New Roman" w:hAnsi="Times New Roman" w:eastAsia="华文中宋"/>
          <w:kern w:val="0"/>
          <w:szCs w:val="21"/>
        </w:rPr>
        <w:t xml:space="preserve"> 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05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真核细胞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</w:tbl>
    <w:tbl>
      <w:tblPr>
        <w:tblStyle w:val="5"/>
        <w:tblpPr w:leftFromText="180" w:rightFromText="180" w:vertAnchor="text" w:horzAnchor="page" w:tblpX="6556" w:tblpY="-1471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05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真核细胞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</w:tbl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 </w:t>
      </w:r>
    </w:p>
    <w:tbl>
      <w:tblPr>
        <w:tblStyle w:val="5"/>
        <w:tblpPr w:leftFromText="180" w:rightFromText="180" w:vertAnchor="text" w:horzAnchor="page" w:tblpX="6271" w:tblpY="371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05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真核细胞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</w:tbl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</w:t>
      </w:r>
      <w:r>
        <w:rPr>
          <w:rFonts w:ascii="Times New Roman" w:hAnsi="Times New Roman" w:eastAsia="华文中宋"/>
          <w:kern w:val="0"/>
          <w:szCs w:val="21"/>
        </w:rPr>
        <w:t xml:space="preserve"> 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056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原核细胞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真核细胞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细胞核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x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t>DNA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439"/>
                <w:tab w:val="left" w:pos="4335"/>
                <w:tab w:val="left" w:pos="6339"/>
              </w:tabs>
              <w:spacing w:line="360" w:lineRule="auto"/>
              <w:jc w:val="center"/>
              <w:textAlignment w:val="center"/>
              <w:rPr>
                <w:rFonts w:ascii="Times New Roman" w:hAnsi="Times New Roman" w:eastAsia="华文中宋"/>
                <w:szCs w:val="21"/>
              </w:rPr>
            </w:pPr>
            <w:r>
              <w:rPr>
                <w:rFonts w:ascii="Times New Roman" w:hAnsi="Times New Roman" w:eastAsia="华文中宋"/>
                <w:szCs w:val="21"/>
              </w:rPr>
              <w:sym w:font="Symbol" w:char="F0D6"/>
            </w:r>
          </w:p>
        </w:tc>
      </w:tr>
    </w:tbl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95250</wp:posOffset>
            </wp:positionV>
            <wp:extent cx="1653540" cy="1264920"/>
            <wp:effectExtent l="0" t="0" r="381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10、Turner综合征患者的性染色体组成和正常女性的性染色体组成如</w:t>
      </w:r>
      <w:r>
        <w:rPr>
          <w:rFonts w:hint="eastAsia" w:ascii="Times New Roman" w:hAnsi="Times New Roman" w:eastAsia="华文中宋"/>
          <w:szCs w:val="21"/>
        </w:rPr>
        <w:t>图</w:t>
      </w:r>
      <w:r>
        <w:rPr>
          <w:rFonts w:ascii="Times New Roman" w:hAnsi="Times New Roman" w:eastAsia="华文中宋"/>
          <w:szCs w:val="21"/>
        </w:rPr>
        <w:t>4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据图4判断造成Turner综合征患者的染色体畸变类型是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染色体易位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染色体</w:t>
      </w:r>
      <w:r>
        <w:rPr>
          <w:rFonts w:ascii="Times New Roman" w:hAnsi="Times New Roman" w:eastAsia="华文中宋"/>
          <w:kern w:val="0"/>
          <w:szCs w:val="21"/>
        </w:rPr>
        <w:t>数目</w:t>
      </w:r>
      <w:r>
        <w:rPr>
          <w:rFonts w:ascii="Times New Roman" w:hAnsi="Times New Roman" w:eastAsia="华文中宋"/>
          <w:szCs w:val="21"/>
        </w:rPr>
        <w:t>增加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染色体片段缺失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整条染色体缺失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350520</wp:posOffset>
            </wp:positionV>
            <wp:extent cx="1417320" cy="147066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11、图5为人类精子形成过程示意图，I-IV表示该过程中的不同阶段。在此过程中，细胞内出现纺锤体的阶段是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I和II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B. II和III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II和IV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III和IV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12、图6表示细胞类型的典型转换过程，能准确表示该过程的术语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3070860" cy="723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细胞分裂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细胞生长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细胞分化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细胞衰老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hint="eastAsia"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274320</wp:posOffset>
            </wp:positionV>
            <wp:extent cx="2674620" cy="1173480"/>
            <wp:effectExtent l="0" t="0" r="0" b="762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13、图7表示用胡萝卜根韧皮部细胞培养获得完整胡萝卜植株的简要流程，这体现了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胡萝卜细胞核的杂合性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B. 胡萝卜细胞的全能性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胡萝卜细胞</w:t>
      </w:r>
      <w:r>
        <w:rPr>
          <w:rFonts w:ascii="Times New Roman" w:hAnsi="Times New Roman" w:eastAsia="华文中宋"/>
          <w:szCs w:val="22"/>
        </w:rPr>
        <w:t>种类</w:t>
      </w:r>
      <w:r>
        <w:rPr>
          <w:rFonts w:ascii="Times New Roman" w:hAnsi="Times New Roman" w:eastAsia="华文中宋"/>
          <w:szCs w:val="21"/>
        </w:rPr>
        <w:t>的多样性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胡萝卜细胞的易突变性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3345180</wp:posOffset>
            </wp:positionH>
            <wp:positionV relativeFrom="paragraph">
              <wp:posOffset>565150</wp:posOffset>
            </wp:positionV>
            <wp:extent cx="2384425" cy="1511935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14、为了研究不同浓度外源生长素对小麦胚芽鞘生长的影响，用初长为5mm的胚芽鞘进行相关实验，结果如图8所示（对照组仅用蒸馏水处理)。据图8判断下列表述中</w:t>
      </w:r>
      <w:r>
        <w:rPr>
          <w:rFonts w:ascii="Times New Roman" w:hAnsi="Times New Roman" w:eastAsia="华文中宋"/>
          <w:szCs w:val="21"/>
          <w:em w:val="dot"/>
        </w:rPr>
        <w:t>错误</w:t>
      </w:r>
      <w:r>
        <w:rPr>
          <w:rFonts w:ascii="Times New Roman" w:hAnsi="Times New Roman" w:eastAsia="华文中宋"/>
          <w:szCs w:val="21"/>
        </w:rPr>
        <w:t>的是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无外源生长素，胚芽鞘也能</w:t>
      </w:r>
      <w:r>
        <w:rPr>
          <w:rFonts w:ascii="Times New Roman" w:hAnsi="Times New Roman" w:eastAsia="华文中宋"/>
          <w:szCs w:val="22"/>
        </w:rPr>
        <w:t>生长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B. 浓度I的生长素可促进小麦胚芽鞘生长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C. 生长素对胚芽鞘的生长具有</w:t>
      </w:r>
      <w:r>
        <w:rPr>
          <w:rFonts w:ascii="Times New Roman" w:hAnsi="Times New Roman" w:eastAsia="华文中宋"/>
          <w:szCs w:val="22"/>
        </w:rPr>
        <w:t>双重</w:t>
      </w:r>
      <w:r>
        <w:rPr>
          <w:rFonts w:ascii="Times New Roman" w:hAnsi="Times New Roman" w:eastAsia="华文中宋"/>
          <w:szCs w:val="21"/>
        </w:rPr>
        <w:t>效应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浓度5的生长素可促进胚芽鞘生长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15、图9为人体内葡萄糖氧化分解的某一途径，其中</w:t>
      </w:r>
      <w:r>
        <w:rPr>
          <w:rFonts w:hint="eastAsia" w:ascii="宋体" w:hAnsi="宋体" w:cs="宋体"/>
          <w:szCs w:val="21"/>
        </w:rPr>
        <w:t>①②③</w:t>
      </w:r>
      <w:r>
        <w:rPr>
          <w:rFonts w:ascii="Times New Roman" w:hAnsi="Times New Roman" w:eastAsia="华文中宋"/>
          <w:szCs w:val="21"/>
        </w:rPr>
        <w:t>表示代谢过程，字母代表物质，据图分析下列表述正确的是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3276600" cy="6781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A. </w:t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是糖酵解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szCs w:val="21"/>
        </w:rPr>
        <w:t>为</w:t>
      </w:r>
      <w:r>
        <w:rPr>
          <w:rFonts w:hint="eastAsia" w:ascii="Times New Roman" w:hAnsi="Times New Roman" w:eastAsia="华文中宋"/>
          <w:szCs w:val="21"/>
        </w:rPr>
        <w:t>三</w:t>
      </w:r>
      <w:r>
        <w:rPr>
          <w:rFonts w:ascii="Times New Roman" w:hAnsi="Times New Roman" w:eastAsia="华文中宋"/>
          <w:kern w:val="0"/>
          <w:szCs w:val="21"/>
        </w:rPr>
        <w:t>羧酸</w:t>
      </w:r>
      <w:r>
        <w:rPr>
          <w:rFonts w:ascii="Times New Roman" w:hAnsi="Times New Roman" w:eastAsia="华文中宋"/>
          <w:szCs w:val="21"/>
        </w:rPr>
        <w:t>循环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C. </w:t>
      </w: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szCs w:val="21"/>
        </w:rPr>
        <w:t>有O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形成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X只能是H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O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16、某芽孢杆菌只有在含蛋白胨、牛肉膏、氯化钠和微量维生素的培养基中才能生长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此时微量维生素对该菌的培养而言属于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碳源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氮源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无机盐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生长因子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17、指甲髌骨综合征是一种由单基因显性遗传病，该基因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N)与I</w:t>
      </w:r>
      <w:r>
        <w:rPr>
          <w:rFonts w:ascii="Times New Roman" w:hAnsi="Times New Roman" w:eastAsia="华文中宋"/>
          <w:szCs w:val="21"/>
          <w:vertAlign w:val="superscript"/>
        </w:rPr>
        <w:t>A</w:t>
      </w:r>
      <w:r>
        <w:rPr>
          <w:rFonts w:ascii="Times New Roman" w:hAnsi="Times New Roman" w:eastAsia="华文中宋"/>
          <w:szCs w:val="21"/>
        </w:rPr>
        <w:t>基因不完全连锁。</w:t>
      </w:r>
      <w:r>
        <w:rPr>
          <w:rFonts w:hint="eastAsia" w:ascii="Times New Roman" w:hAnsi="Times New Roman" w:eastAsia="华文中宋"/>
          <w:szCs w:val="21"/>
        </w:rPr>
        <w:t>某女</w:t>
      </w:r>
      <w:r>
        <w:rPr>
          <w:rFonts w:ascii="Times New Roman" w:hAnsi="Times New Roman" w:eastAsia="华文中宋"/>
          <w:szCs w:val="21"/>
        </w:rPr>
        <w:t>患者血型基因型为</w:t>
      </w:r>
      <w:r>
        <w:drawing>
          <wp:inline distT="0" distB="0" distL="0" distR="0">
            <wp:extent cx="297180" cy="38862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中宋"/>
          <w:szCs w:val="21"/>
        </w:rPr>
        <w:t>，其丈夫血型基因型为</w:t>
      </w:r>
      <w:r>
        <w:drawing>
          <wp:inline distT="0" distB="0" distL="0" distR="0">
            <wp:extent cx="335280" cy="38100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华文中宋"/>
          <w:szCs w:val="21"/>
        </w:rPr>
        <w:t>。下列有关两者所生子女的判断，正确的是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凡子女血型为B型或O型，一定不患指甲髌骨综合征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B. 凡子女</w:t>
      </w:r>
      <w:r>
        <w:rPr>
          <w:rFonts w:ascii="Times New Roman" w:hAnsi="Times New Roman" w:eastAsia="华文中宋"/>
          <w:szCs w:val="22"/>
        </w:rPr>
        <w:t>血型</w:t>
      </w:r>
      <w:r>
        <w:rPr>
          <w:rFonts w:ascii="Times New Roman" w:hAnsi="Times New Roman" w:eastAsia="华文中宋"/>
          <w:szCs w:val="21"/>
        </w:rPr>
        <w:t>为A型或AB型，一定为指甲髌骨综合征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凡子女</w:t>
      </w:r>
      <w:r>
        <w:rPr>
          <w:rFonts w:ascii="Times New Roman" w:hAnsi="Times New Roman" w:eastAsia="华文中宋"/>
          <w:szCs w:val="22"/>
        </w:rPr>
        <w:t>血型</w:t>
      </w:r>
      <w:r>
        <w:rPr>
          <w:rFonts w:ascii="Times New Roman" w:hAnsi="Times New Roman" w:eastAsia="华文中宋"/>
          <w:szCs w:val="21"/>
        </w:rPr>
        <w:t>为A型或AB型，患指甲髌骨综合征的可能性大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无论何种血型均可能患指甲髌骨征，患者发病风险相同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18、为了保留1号大鼠的性状，通过图10所示过程得到与其性状相同的IV大鼠，该过程属于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4511040" cy="126492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发酵工程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人工授精技术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基因工程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动物克隆技术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4907280</wp:posOffset>
            </wp:positionH>
            <wp:positionV relativeFrom="paragraph">
              <wp:posOffset>7620</wp:posOffset>
            </wp:positionV>
            <wp:extent cx="1455420" cy="137922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华文中宋"/>
          <w:szCs w:val="21"/>
        </w:rPr>
        <w:t>19、在野外捕获四种袖蝶，测定其染色体DNA碱基序列，比对结果如图II所</w:t>
      </w:r>
      <w:r>
        <w:rPr>
          <w:rFonts w:hint="eastAsia" w:ascii="Times New Roman" w:hAnsi="Times New Roman" w:eastAsia="华文中宋"/>
          <w:szCs w:val="21"/>
        </w:rPr>
        <w:t>示</w:t>
      </w:r>
      <w:r>
        <w:rPr>
          <w:rFonts w:ascii="Times New Roman" w:hAnsi="Times New Roman" w:eastAsia="华文中宋"/>
          <w:szCs w:val="21"/>
        </w:rPr>
        <w:t>，据此可判断四种袖蝶间的亲缘关系，图II所示的研究结果属于能证明生物进化的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3558540" cy="1059180"/>
            <wp:effectExtent l="0" t="0" r="381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胚胎学证据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比较解剖学证据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生物化学证据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D.古生物化石证据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20、辛普森多样性指数可以测量生物多样性，在采用样方法进行</w:t>
      </w:r>
      <w:r>
        <w:rPr>
          <w:rFonts w:hint="eastAsia" w:ascii="Times New Roman" w:hAnsi="Times New Roman" w:eastAsia="华文中宋"/>
          <w:szCs w:val="21"/>
        </w:rPr>
        <w:t>调查</w:t>
      </w:r>
      <w:r>
        <w:rPr>
          <w:rFonts w:ascii="Times New Roman" w:hAnsi="Times New Roman" w:eastAsia="华文中宋"/>
          <w:szCs w:val="21"/>
        </w:rPr>
        <w:t>时，正确的做法是: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在植物</w:t>
      </w:r>
      <w:r>
        <w:rPr>
          <w:rFonts w:ascii="Times New Roman" w:hAnsi="Times New Roman" w:eastAsia="华文中宋"/>
          <w:szCs w:val="22"/>
        </w:rPr>
        <w:t>密度</w:t>
      </w:r>
      <w:r>
        <w:rPr>
          <w:rFonts w:ascii="Times New Roman" w:hAnsi="Times New Roman" w:eastAsia="华文中宋"/>
          <w:szCs w:val="21"/>
        </w:rPr>
        <w:t>高的地方选取样方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 w:eastAsia="华文中宋"/>
          <w:szCs w:val="21"/>
        </w:rPr>
        <w:t>统计样方内植物物种数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 w:eastAsia="华文中宋"/>
          <w:szCs w:val="21"/>
        </w:rPr>
        <w:t xml:space="preserve">统计样方内每种植物的个体数 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 xml:space="preserve">A. </w:t>
      </w:r>
      <w:r>
        <w:rPr>
          <w:rFonts w:hint="eastAsia" w:ascii="宋体" w:hAnsi="宋体" w:cs="宋体"/>
          <w:szCs w:val="21"/>
        </w:rPr>
        <w:t>①②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B. </w:t>
      </w:r>
      <w:r>
        <w:rPr>
          <w:rFonts w:hint="eastAsia" w:ascii="宋体" w:hAnsi="宋体" w:cs="宋体"/>
          <w:szCs w:val="21"/>
        </w:rPr>
        <w:t>①③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C. </w:t>
      </w:r>
      <w:r>
        <w:rPr>
          <w:rFonts w:hint="eastAsia" w:ascii="宋体" w:hAnsi="宋体" w:cs="宋体"/>
          <w:szCs w:val="21"/>
        </w:rPr>
        <w:t>②③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 xml:space="preserve">D. </w:t>
      </w:r>
      <w:r>
        <w:rPr>
          <w:rFonts w:hint="eastAsia" w:ascii="宋体" w:hAnsi="宋体" w:cs="宋体"/>
          <w:szCs w:val="21"/>
        </w:rPr>
        <w:t>①②③</w:t>
      </w:r>
      <w:r>
        <w:rPr>
          <w:rFonts w:ascii="Times New Roman" w:hAnsi="Times New Roman" w:eastAsia="华文中宋"/>
          <w:szCs w:val="21"/>
        </w:rPr>
        <w:t xml:space="preserve"> 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b/>
          <w:bCs/>
          <w:szCs w:val="21"/>
        </w:rPr>
      </w:pPr>
      <w:r>
        <w:rPr>
          <w:rFonts w:ascii="Times New Roman" w:hAnsi="Times New Roman" w:eastAsia="华文中宋"/>
          <w:b/>
          <w:bCs/>
          <w:szCs w:val="21"/>
        </w:rPr>
        <w:t>二、综合题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szCs w:val="21"/>
        </w:rPr>
        <w:t>（一）细胞和细胞分裂（12分）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下面图12是细胞的部分亚显微结构，图13中X</w:t>
      </w:r>
      <w:r>
        <w:rPr>
          <w:rFonts w:ascii="Times New Roman" w:hAnsi="Times New Roman" w:eastAsia="华文中宋"/>
          <w:szCs w:val="21"/>
          <w:vertAlign w:val="subscript"/>
        </w:rPr>
        <w:t>1</w:t>
      </w:r>
      <w:r>
        <w:rPr>
          <w:rFonts w:ascii="Times New Roman" w:hAnsi="Times New Roman" w:eastAsia="华文中宋"/>
          <w:szCs w:val="21"/>
        </w:rPr>
        <w:t>-X</w:t>
      </w:r>
      <w:r>
        <w:rPr>
          <w:rFonts w:ascii="Times New Roman" w:hAnsi="Times New Roman" w:eastAsia="华文中宋"/>
          <w:szCs w:val="21"/>
          <w:vertAlign w:val="subscript"/>
        </w:rPr>
        <w:t>5</w:t>
      </w:r>
      <w:r>
        <w:rPr>
          <w:rFonts w:ascii="Times New Roman" w:hAnsi="Times New Roman" w:eastAsia="华文中宋"/>
          <w:szCs w:val="21"/>
        </w:rPr>
        <w:t>为细胞的不同状态。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4869180" cy="225552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21、（2分）图12中的膜结构X是_________________。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内质网膜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溶酶体膜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液泡膜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核膜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22、（2分）膜结构X的主要物质组成是_________________。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23、（2分）图12核糖体亚单位穿过膜结构X的运输方式属于_________________。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渗透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协助扩散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自由扩散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主动运输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24、（2分）根据图13细胞周期各阶段时长关系推测，下列正确的是_________________。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kern w:val="0"/>
          <w:szCs w:val="21"/>
        </w:rPr>
      </w:pPr>
      <w:r>
        <w:rPr>
          <w:rFonts w:ascii="Times New Roman" w:hAnsi="Times New Roman" w:eastAsia="华文中宋"/>
          <w:szCs w:val="21"/>
        </w:rPr>
        <w:t>A. I阶段&gt;III阶段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GI期+I阶段&gt;II阶段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GI期&gt;IV阶段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D.GI期+I阶段&gt;II阶段+III阶段+IV阶段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25、（4分）根据有丝分裂过程，写出图中X</w:t>
      </w:r>
      <w:r>
        <w:rPr>
          <w:rFonts w:ascii="Times New Roman" w:hAnsi="Times New Roman" w:eastAsia="华文中宋"/>
          <w:szCs w:val="21"/>
          <w:vertAlign w:val="subscript"/>
        </w:rPr>
        <w:t>1</w:t>
      </w:r>
      <w:r>
        <w:rPr>
          <w:rFonts w:ascii="Times New Roman" w:hAnsi="Times New Roman" w:eastAsia="华文中宋"/>
          <w:szCs w:val="21"/>
        </w:rPr>
        <w:t>和X</w:t>
      </w:r>
      <w:r>
        <w:rPr>
          <w:rFonts w:ascii="Times New Roman" w:hAnsi="Times New Roman" w:eastAsia="华文中宋"/>
          <w:szCs w:val="21"/>
          <w:vertAlign w:val="subscript"/>
        </w:rPr>
        <w:t>3</w:t>
      </w:r>
      <w:r>
        <w:rPr>
          <w:rFonts w:ascii="Times New Roman" w:hAnsi="Times New Roman" w:eastAsia="华文中宋"/>
          <w:szCs w:val="21"/>
        </w:rPr>
        <w:t>两种状态细胞内的核DNA含量差异， 据图13描述两种状态细胞核的形态差异，并分别解释这些差异的意义。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hint="eastAsia"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szCs w:val="21"/>
        </w:rPr>
        <w:t>（二）生命活动调节（12分）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科研人员培养了一种转基因小鼠，使其体内的GS神经元表达出铁蛋白，发射电磁波可 激活GS神经元内的铁蛋白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图14)，继而引发该神经元兴奋。GS神经元兴奋后会使血糖水平发生变化。用电磁波照射转基因小鼠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实验组)和非转基因小鼠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对照组)，连续监测两者血糖变化的结果如图15所示。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4808220" cy="19888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26、（2分）图14中GS神经元膜两侧I、II分别是_________________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组织液和细胞质基质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组织液和淋巴液</w:t>
      </w:r>
    </w:p>
    <w:p>
      <w:pPr>
        <w:tabs>
          <w:tab w:val="left" w:pos="426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细胞质基质和组织液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淋巴液和组织液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27、（2分）GS神经元接受信号后产生兴奋，神经元的膜两侧电荷分布为_______________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28、（2分）图14可知，GS神经元内铁蛋白的作用最类似于下列物质或结构中__________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神经递质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神经递质受体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突触小泡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离子运输载体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29、（2分）据题中信息，实验小鼠体内GS神经元兴奋后血糖发生变化。下列属于该调节过程的效应器的有_________________ (多选）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胰岛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肾上腺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肝脏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唾液腺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30、（2分）GS神经元兴奋后，通过调节细胞内新陈代谢，最终改变血浆葡萄糖水平。下列过程中能改变血糖水平的是_________________ (多选）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糖原分解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B. 糖氧化分解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C. 脂肪分解</w:t>
      </w:r>
      <w:r>
        <w:rPr>
          <w:rFonts w:ascii="Times New Roman" w:hAnsi="Times New Roman" w:eastAsia="华文中宋"/>
          <w:kern w:val="0"/>
          <w:szCs w:val="21"/>
        </w:rPr>
        <w:tab/>
      </w:r>
      <w:r>
        <w:rPr>
          <w:rFonts w:ascii="Times New Roman" w:hAnsi="Times New Roman" w:eastAsia="华文中宋"/>
          <w:szCs w:val="21"/>
        </w:rPr>
        <w:t>D. 脂肪合成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31、（2分）据图15写出实验组和对照组的血糖变化对电磁波的表现差异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hint="eastAsia" w:ascii="Times New Roman" w:hAnsi="Times New Roman" w:eastAsia="华文中宋"/>
          <w:szCs w:val="21"/>
        </w:rPr>
      </w:pPr>
      <w:r>
        <w:rPr>
          <w:rFonts w:hint="eastAsia" w:ascii="Times New Roman" w:hAnsi="Times New Roman" w:eastAsia="华文中宋"/>
          <w:szCs w:val="21"/>
        </w:rPr>
        <w:t>_______________________________________________________________________________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hint="eastAsia" w:ascii="Times New Roman" w:hAnsi="Times New Roman" w:eastAsia="华文中宋"/>
          <w:szCs w:val="21"/>
        </w:rPr>
      </w:pP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szCs w:val="21"/>
        </w:rPr>
        <w:t>（三）人类遗传病（12分）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肾上腺皮质营养不良症</w:t>
      </w:r>
      <w:r>
        <w:rPr>
          <w:rFonts w:hint="eastAsia" w:ascii="Times New Roman" w:hAnsi="Times New Roman" w:eastAsia="华文中宋"/>
          <w:szCs w:val="21"/>
        </w:rPr>
        <w:t>(</w:t>
      </w:r>
      <w:r>
        <w:rPr>
          <w:rFonts w:ascii="Times New Roman" w:hAnsi="Times New Roman" w:eastAsia="华文中宋"/>
          <w:szCs w:val="21"/>
        </w:rPr>
        <w:t>ALD)是一种遗传病。图16是该遗传病的某家系系谱图。己知III-7不携带ALD致病基因。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3261360" cy="204216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32、（2分）基于图16可判断ALD的致病基因为_________________ (显/隐）性。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33、（3分）据统计，在人群中带有该致病基因的男性出现的频率为1：42,000，若同时考虑男女性致病基因携带者，则频率1: 16,800，由于推断该致病基因最可能位于___________  (常/X/Y)染色体上。推测的过程是：女性致病基因携带者出现的频率比男性致病基因携带者出现的频率_________________ (高/低/相当)。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hint="eastAsia"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34、（2分）设A/a为ALD相关基因，则IV-II的基因型为_________________</w:t>
      </w:r>
      <w:r>
        <w:rPr>
          <w:rFonts w:hint="eastAsia" w:ascii="Times New Roman" w:hAnsi="Times New Roman" w:eastAsia="华文中宋"/>
          <w:szCs w:val="21"/>
        </w:rPr>
        <w:t>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35、（2分）为避免ALD患儿出生，III-9夫妇欲采用辅助生殖技术生育二胎，在体外受精后排除了携带致病基因的胚胎，在胚胎植入子宫前需实施_________________。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36、（3分）III-7生育的第三胎男孩出乎意外患有该病（ALD），下列对该男孩及其家系的推测中正确的是_________________ (多选）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A. 正常情况下，III-7与III-8所生子女患病得几率为零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B. III-8将其ALD致病基因遗传给了这个男孩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C. 该男孩的病因可能是自身体细胞发生了突变所致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D. III-7的卵子形成过程中发生了基因突变，产生了ALD致病基因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szCs w:val="21"/>
        </w:rPr>
        <w:t xml:space="preserve"> </w:t>
      </w:r>
      <w:r>
        <w:rPr>
          <w:rFonts w:ascii="Times New Roman" w:hAnsi="Times New Roman" w:eastAsia="华文中宋"/>
          <w:b/>
          <w:szCs w:val="21"/>
        </w:rPr>
        <w:t>(四）生物技术及生命科学的应用（10分）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解脂芽孢杆菌产多种脂肪酶，后者广泛用于日用化工和食品工业，因此利用生物技术规模化生产脂肪酶有重要意义。图17为解脂芽孢杆菌拟核DNA中某分泌型脂肪酶编码基因 (LP)的定位及所用质粒DNA的有关信息，图中BamH1、EcoR1、Mbo1均为限制酶。图18为固定化与非固定化脂肪酶的相对酶活性与温度的关系。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5274310" cy="24663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37.  (4分）基于上述信息，该项基因工程的目的基因是_____________。为了与质粒DNA合理重组，解脂芽孢杆菌拟核DNA和质粒DNA均应用限制酶______________切割。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hint="eastAsia"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38.  (2分）由上述基因工程改造过的细菌规模化生产并提纯分泌型脂肪酶，需要加入硫酸铵使酶蛋白与其他杂质分离，这属于酶分离提纯步骤中的_________________</w:t>
      </w:r>
      <w:r>
        <w:rPr>
          <w:rFonts w:hint="eastAsia" w:ascii="Times New Roman" w:hAnsi="Times New Roman" w:eastAsia="华文中宋"/>
          <w:szCs w:val="21"/>
        </w:rPr>
        <w:t>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39.  (4分）为了便于重复使用，上述制得的脂肪酶往往要固定化。比较图18的两条曲线，写出固定化酶的优势是_________________，劣势是_________________。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b/>
          <w:szCs w:val="21"/>
        </w:rPr>
      </w:pPr>
      <w:r>
        <w:rPr>
          <w:rFonts w:ascii="Times New Roman" w:hAnsi="Times New Roman" w:eastAsia="华文中宋"/>
          <w:b/>
          <w:szCs w:val="21"/>
        </w:rPr>
        <w:t>(五）光合作用（14分）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光合作用是自然界最为重要的化学反应，其过程如图19所示。 科研人员以甜瓜为对象，研究温度和CO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浓度对甜瓜光合速率（即光合作用合成有机物的速率减去呼吸作用消耗有机物的速率）的影响，结果如图20。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center"/>
        <w:textAlignment w:val="center"/>
        <w:rPr>
          <w:rFonts w:ascii="Times New Roman" w:hAnsi="Times New Roman" w:eastAsia="华文中宋"/>
          <w:szCs w:val="21"/>
        </w:rPr>
      </w:pPr>
      <w:r>
        <w:drawing>
          <wp:inline distT="0" distB="0" distL="0" distR="0">
            <wp:extent cx="5074920" cy="22555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40、（4分）图19中反应</w:t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进行的场所是_________________，外界CO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主要通过影响反应_________________ (</w:t>
      </w: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 w:eastAsia="华文中宋"/>
          <w:szCs w:val="21"/>
        </w:rPr>
        <w:t>/</w:t>
      </w:r>
      <w:r>
        <w:rPr>
          <w:rFonts w:hint="eastAsia" w:ascii="宋体" w:hAnsi="宋体" w:cs="宋体"/>
          <w:szCs w:val="21"/>
        </w:rPr>
        <w:t>②</w:t>
      </w:r>
      <w:r>
        <w:rPr>
          <w:rFonts w:hint="eastAsia" w:ascii="Times New Roman" w:hAnsi="Times New Roman" w:eastAsia="华文中宋"/>
          <w:szCs w:val="21"/>
        </w:rPr>
        <w:t>)</w:t>
      </w:r>
      <w:r>
        <w:rPr>
          <w:rFonts w:ascii="Times New Roman" w:hAnsi="Times New Roman" w:eastAsia="华文中宋"/>
          <w:szCs w:val="21"/>
        </w:rPr>
        <w:t xml:space="preserve"> 影响光合速率。光合速率可以用图19中的_________________释放量或_________________吸收量</w:t>
      </w:r>
      <w:r>
        <w:rPr>
          <w:rFonts w:hint="eastAsia" w:ascii="Times New Roman" w:hAnsi="Times New Roman" w:eastAsia="华文中宋"/>
          <w:szCs w:val="21"/>
        </w:rPr>
        <w:t>来</w:t>
      </w:r>
      <w:r>
        <w:rPr>
          <w:rFonts w:ascii="Times New Roman" w:hAnsi="Times New Roman" w:eastAsia="华文中宋"/>
          <w:szCs w:val="21"/>
        </w:rPr>
        <w:t>衡量。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41、（2分）据图20分析，甜瓜光合速率并不与环境</w:t>
      </w:r>
      <w:r>
        <w:rPr>
          <w:rFonts w:hint="eastAsia" w:ascii="Times New Roman" w:hAnsi="Times New Roman" w:eastAsia="华文中宋"/>
          <w:szCs w:val="21"/>
        </w:rPr>
        <w:t>温</w:t>
      </w:r>
      <w:r>
        <w:rPr>
          <w:rFonts w:ascii="Times New Roman" w:hAnsi="Times New Roman" w:eastAsia="华文中宋"/>
          <w:szCs w:val="21"/>
        </w:rPr>
        <w:t>度始终正相关，做出分析的依据是：在温度高于_________________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 w:eastAsia="华文中宋"/>
          <w:szCs w:val="21"/>
        </w:rPr>
        <w:t>后，甜瓜光合速率开始下降。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42、（3分</w:t>
      </w:r>
      <w:r>
        <w:rPr>
          <w:rFonts w:hint="eastAsia" w:ascii="Times New Roman" w:hAnsi="Times New Roman" w:eastAsia="华文中宋"/>
          <w:szCs w:val="21"/>
        </w:rPr>
        <w:t>）</w:t>
      </w:r>
      <w:r>
        <w:rPr>
          <w:rFonts w:ascii="Times New Roman" w:hAnsi="Times New Roman" w:eastAsia="华文中宋"/>
          <w:szCs w:val="21"/>
        </w:rPr>
        <w:t>一般而言，光合作用酶的最适温度比呼吸作用酶低。据此解释图20中 26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CO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浓度为1.2-l.6mL/L时，光合速率显著上升的原因：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______________________________________________________________________________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43、（5分）依据图20中的研究结果，有人提出两种可能得控制方案以提高甜瓜产量：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方案一：CO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浓度设定为1.4-1.6mL/L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温度设定为30</w:t>
      </w:r>
      <w:r>
        <w:rPr>
          <w:rFonts w:hint="eastAsia" w:ascii="宋体" w:hAnsi="宋体" w:cs="宋体"/>
          <w:szCs w:val="21"/>
        </w:rPr>
        <w:t>℃</w:t>
      </w:r>
      <w:r>
        <w:rPr>
          <w:rFonts w:hint="eastAsia" w:ascii="Times New Roman" w:hAnsi="Times New Roman" w:eastAsia="华文中宋"/>
          <w:szCs w:val="21"/>
        </w:rPr>
        <w:t>；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方案二：CO</w:t>
      </w:r>
      <w:r>
        <w:rPr>
          <w:rFonts w:ascii="Times New Roman" w:hAnsi="Times New Roman" w:eastAsia="华文中宋"/>
          <w:szCs w:val="21"/>
          <w:vertAlign w:val="subscript"/>
        </w:rPr>
        <w:t>2</w:t>
      </w:r>
      <w:r>
        <w:rPr>
          <w:rFonts w:ascii="Times New Roman" w:hAnsi="Times New Roman" w:eastAsia="华文中宋"/>
          <w:szCs w:val="21"/>
        </w:rPr>
        <w:t>浓度设定为大于1.6mL/L</w:t>
      </w:r>
      <w:r>
        <w:rPr>
          <w:rFonts w:hint="eastAsia" w:ascii="Times New Roman" w:hAnsi="Times New Roman" w:eastAsia="华文中宋"/>
          <w:szCs w:val="21"/>
        </w:rPr>
        <w:t>，</w:t>
      </w:r>
      <w:r>
        <w:rPr>
          <w:rFonts w:ascii="Times New Roman" w:hAnsi="Times New Roman" w:eastAsia="华文中宋"/>
          <w:szCs w:val="21"/>
        </w:rPr>
        <w:t>温度设定为26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 w:eastAsia="华文中宋"/>
          <w:szCs w:val="21"/>
        </w:rPr>
        <w:t>。</w:t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写出这两种方案各自的合理和局限之处：</w:t>
      </w:r>
    </w:p>
    <w:p>
      <w:pPr>
        <w:widowControl/>
        <w:spacing w:line="360" w:lineRule="auto"/>
        <w:jc w:val="left"/>
        <w:rPr>
          <w:rFonts w:ascii="Times New Roman" w:hAnsi="Times New Roman" w:eastAsia="华文中宋"/>
          <w:szCs w:val="21"/>
        </w:rPr>
      </w:pPr>
      <w:r>
        <w:rPr>
          <w:rFonts w:ascii="Times New Roman" w:hAnsi="Times New Roman" w:eastAsia="华文中宋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eastAsia="华文中宋"/>
          <w:szCs w:val="21"/>
        </w:rPr>
        <w:br w:type="page"/>
      </w:r>
    </w:p>
    <w:p>
      <w:pPr>
        <w:tabs>
          <w:tab w:val="left" w:pos="2439"/>
          <w:tab w:val="left" w:pos="4335"/>
          <w:tab w:val="left" w:pos="6339"/>
        </w:tabs>
        <w:spacing w:line="360" w:lineRule="auto"/>
        <w:ind w:firstLine="315" w:firstLineChars="150"/>
        <w:jc w:val="left"/>
        <w:textAlignment w:val="center"/>
        <w:rPr>
          <w:rFonts w:ascii="Times New Roman" w:hAnsi="Times New Roman" w:eastAsia="华文中宋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 xml:space="preserve">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教育资源分享店铺  网址：https://shop175591889.taobao.com   微信号：kingcsa333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9D"/>
    <w:rsid w:val="00013DE6"/>
    <w:rsid w:val="00025C19"/>
    <w:rsid w:val="0003474F"/>
    <w:rsid w:val="00051958"/>
    <w:rsid w:val="00057610"/>
    <w:rsid w:val="00067F07"/>
    <w:rsid w:val="000745F6"/>
    <w:rsid w:val="000750B7"/>
    <w:rsid w:val="000A0957"/>
    <w:rsid w:val="000A0C89"/>
    <w:rsid w:val="000A55A4"/>
    <w:rsid w:val="000B750F"/>
    <w:rsid w:val="000D2C72"/>
    <w:rsid w:val="000E4C18"/>
    <w:rsid w:val="000E4D8C"/>
    <w:rsid w:val="000F1719"/>
    <w:rsid w:val="001141CC"/>
    <w:rsid w:val="00114C51"/>
    <w:rsid w:val="00121791"/>
    <w:rsid w:val="00136D4B"/>
    <w:rsid w:val="00140A93"/>
    <w:rsid w:val="001501FE"/>
    <w:rsid w:val="00151A4B"/>
    <w:rsid w:val="00181F28"/>
    <w:rsid w:val="00195103"/>
    <w:rsid w:val="001B14FB"/>
    <w:rsid w:val="001B36D3"/>
    <w:rsid w:val="001D1CF8"/>
    <w:rsid w:val="001D6B99"/>
    <w:rsid w:val="00226CD9"/>
    <w:rsid w:val="0022794C"/>
    <w:rsid w:val="0023140B"/>
    <w:rsid w:val="00237393"/>
    <w:rsid w:val="002417A2"/>
    <w:rsid w:val="00250342"/>
    <w:rsid w:val="0025306E"/>
    <w:rsid w:val="002542CE"/>
    <w:rsid w:val="00257401"/>
    <w:rsid w:val="00264A23"/>
    <w:rsid w:val="002726AC"/>
    <w:rsid w:val="00291EBF"/>
    <w:rsid w:val="002A3069"/>
    <w:rsid w:val="002A6572"/>
    <w:rsid w:val="002B07D4"/>
    <w:rsid w:val="002B0ED9"/>
    <w:rsid w:val="002C35D4"/>
    <w:rsid w:val="002C5284"/>
    <w:rsid w:val="002E079D"/>
    <w:rsid w:val="00304F00"/>
    <w:rsid w:val="0032019D"/>
    <w:rsid w:val="00320ED8"/>
    <w:rsid w:val="00325A71"/>
    <w:rsid w:val="003271E2"/>
    <w:rsid w:val="003328F8"/>
    <w:rsid w:val="00346724"/>
    <w:rsid w:val="00352810"/>
    <w:rsid w:val="00371BAD"/>
    <w:rsid w:val="00372601"/>
    <w:rsid w:val="00377100"/>
    <w:rsid w:val="0038386A"/>
    <w:rsid w:val="003D3B7D"/>
    <w:rsid w:val="00404D12"/>
    <w:rsid w:val="00433DFB"/>
    <w:rsid w:val="004432BF"/>
    <w:rsid w:val="004537CF"/>
    <w:rsid w:val="00464104"/>
    <w:rsid w:val="00470B5A"/>
    <w:rsid w:val="004714A8"/>
    <w:rsid w:val="0047550D"/>
    <w:rsid w:val="00481D6A"/>
    <w:rsid w:val="004960B2"/>
    <w:rsid w:val="004969F2"/>
    <w:rsid w:val="004A5EEA"/>
    <w:rsid w:val="004B6588"/>
    <w:rsid w:val="004C3C27"/>
    <w:rsid w:val="004D0835"/>
    <w:rsid w:val="004E2E9F"/>
    <w:rsid w:val="004E5140"/>
    <w:rsid w:val="004E59F1"/>
    <w:rsid w:val="004F2730"/>
    <w:rsid w:val="00592125"/>
    <w:rsid w:val="005921A1"/>
    <w:rsid w:val="005B3E7F"/>
    <w:rsid w:val="005E314A"/>
    <w:rsid w:val="005F407C"/>
    <w:rsid w:val="00621151"/>
    <w:rsid w:val="006368CC"/>
    <w:rsid w:val="00654392"/>
    <w:rsid w:val="006711F3"/>
    <w:rsid w:val="006763F1"/>
    <w:rsid w:val="006842AF"/>
    <w:rsid w:val="006D384B"/>
    <w:rsid w:val="006D6C58"/>
    <w:rsid w:val="006E643A"/>
    <w:rsid w:val="007157D2"/>
    <w:rsid w:val="00740400"/>
    <w:rsid w:val="00750111"/>
    <w:rsid w:val="00767414"/>
    <w:rsid w:val="007737E2"/>
    <w:rsid w:val="00775042"/>
    <w:rsid w:val="007875EE"/>
    <w:rsid w:val="007B2DC2"/>
    <w:rsid w:val="007C2438"/>
    <w:rsid w:val="007E231B"/>
    <w:rsid w:val="007E6547"/>
    <w:rsid w:val="007F2FB1"/>
    <w:rsid w:val="007F49FE"/>
    <w:rsid w:val="008107AB"/>
    <w:rsid w:val="00830D4B"/>
    <w:rsid w:val="0083597B"/>
    <w:rsid w:val="008570F4"/>
    <w:rsid w:val="00857F39"/>
    <w:rsid w:val="0086623A"/>
    <w:rsid w:val="00895016"/>
    <w:rsid w:val="008B0262"/>
    <w:rsid w:val="008D3983"/>
    <w:rsid w:val="008D5BEC"/>
    <w:rsid w:val="008D62CB"/>
    <w:rsid w:val="008E3AB9"/>
    <w:rsid w:val="00913CF9"/>
    <w:rsid w:val="00925E97"/>
    <w:rsid w:val="00932677"/>
    <w:rsid w:val="009602AD"/>
    <w:rsid w:val="0096719D"/>
    <w:rsid w:val="00982046"/>
    <w:rsid w:val="009913D8"/>
    <w:rsid w:val="009A16C7"/>
    <w:rsid w:val="009A5DEE"/>
    <w:rsid w:val="009B0EBA"/>
    <w:rsid w:val="009B7AA5"/>
    <w:rsid w:val="009D5CAA"/>
    <w:rsid w:val="009E4A3D"/>
    <w:rsid w:val="009E6258"/>
    <w:rsid w:val="00A23197"/>
    <w:rsid w:val="00A71CE0"/>
    <w:rsid w:val="00A72B72"/>
    <w:rsid w:val="00A90152"/>
    <w:rsid w:val="00A9460F"/>
    <w:rsid w:val="00A97D08"/>
    <w:rsid w:val="00AA7F9D"/>
    <w:rsid w:val="00AB19CC"/>
    <w:rsid w:val="00AC0681"/>
    <w:rsid w:val="00AD7734"/>
    <w:rsid w:val="00AE75B8"/>
    <w:rsid w:val="00AF480C"/>
    <w:rsid w:val="00B4357C"/>
    <w:rsid w:val="00B543AD"/>
    <w:rsid w:val="00B664E2"/>
    <w:rsid w:val="00C07916"/>
    <w:rsid w:val="00C1793B"/>
    <w:rsid w:val="00C20E5E"/>
    <w:rsid w:val="00C34A78"/>
    <w:rsid w:val="00C5147E"/>
    <w:rsid w:val="00C52512"/>
    <w:rsid w:val="00C604B7"/>
    <w:rsid w:val="00C63D8D"/>
    <w:rsid w:val="00C734A7"/>
    <w:rsid w:val="00C8181B"/>
    <w:rsid w:val="00C8380D"/>
    <w:rsid w:val="00C934C7"/>
    <w:rsid w:val="00CA0D61"/>
    <w:rsid w:val="00CA1223"/>
    <w:rsid w:val="00CA2C36"/>
    <w:rsid w:val="00CA5740"/>
    <w:rsid w:val="00CC71C3"/>
    <w:rsid w:val="00CE410D"/>
    <w:rsid w:val="00D01AA6"/>
    <w:rsid w:val="00D17230"/>
    <w:rsid w:val="00D2523B"/>
    <w:rsid w:val="00D40AAF"/>
    <w:rsid w:val="00D41191"/>
    <w:rsid w:val="00D50CF6"/>
    <w:rsid w:val="00D51094"/>
    <w:rsid w:val="00D60198"/>
    <w:rsid w:val="00D643E8"/>
    <w:rsid w:val="00D81BFB"/>
    <w:rsid w:val="00D87E10"/>
    <w:rsid w:val="00D9280B"/>
    <w:rsid w:val="00DA47B6"/>
    <w:rsid w:val="00DC7F0D"/>
    <w:rsid w:val="00DD0BE4"/>
    <w:rsid w:val="00DE026E"/>
    <w:rsid w:val="00E1354B"/>
    <w:rsid w:val="00E22AC4"/>
    <w:rsid w:val="00E617AA"/>
    <w:rsid w:val="00E648B9"/>
    <w:rsid w:val="00E66BDC"/>
    <w:rsid w:val="00E7133A"/>
    <w:rsid w:val="00E77088"/>
    <w:rsid w:val="00E80DF0"/>
    <w:rsid w:val="00E84395"/>
    <w:rsid w:val="00EA443B"/>
    <w:rsid w:val="00EB06B5"/>
    <w:rsid w:val="00EC1EDE"/>
    <w:rsid w:val="00EC242C"/>
    <w:rsid w:val="00EF3B41"/>
    <w:rsid w:val="00EF748F"/>
    <w:rsid w:val="00F07B78"/>
    <w:rsid w:val="00F149CE"/>
    <w:rsid w:val="00F15A3B"/>
    <w:rsid w:val="00F234BC"/>
    <w:rsid w:val="00F27C70"/>
    <w:rsid w:val="00F36053"/>
    <w:rsid w:val="00FA27C9"/>
    <w:rsid w:val="00FA4EED"/>
    <w:rsid w:val="00FB4CAE"/>
    <w:rsid w:val="00FC0D71"/>
    <w:rsid w:val="00FC75F1"/>
    <w:rsid w:val="00FD003A"/>
    <w:rsid w:val="00FD0B49"/>
    <w:rsid w:val="08686251"/>
    <w:rsid w:val="0CEF1577"/>
    <w:rsid w:val="0E836292"/>
    <w:rsid w:val="0F5F0B86"/>
    <w:rsid w:val="104F30DC"/>
    <w:rsid w:val="10F1729E"/>
    <w:rsid w:val="119D353B"/>
    <w:rsid w:val="15EC165F"/>
    <w:rsid w:val="16DB1042"/>
    <w:rsid w:val="191E767F"/>
    <w:rsid w:val="1C954F55"/>
    <w:rsid w:val="1CE11D4F"/>
    <w:rsid w:val="1EBD5ADE"/>
    <w:rsid w:val="246151D3"/>
    <w:rsid w:val="2844196B"/>
    <w:rsid w:val="2F6342F5"/>
    <w:rsid w:val="309D6357"/>
    <w:rsid w:val="33FF0A9B"/>
    <w:rsid w:val="35FA1354"/>
    <w:rsid w:val="378A3BCF"/>
    <w:rsid w:val="3E0D0644"/>
    <w:rsid w:val="3EEB40F4"/>
    <w:rsid w:val="41433D66"/>
    <w:rsid w:val="4173447F"/>
    <w:rsid w:val="45715368"/>
    <w:rsid w:val="49052E78"/>
    <w:rsid w:val="4F7A3C76"/>
    <w:rsid w:val="50985068"/>
    <w:rsid w:val="526367FE"/>
    <w:rsid w:val="55054494"/>
    <w:rsid w:val="55C203FE"/>
    <w:rsid w:val="560062A6"/>
    <w:rsid w:val="5778784F"/>
    <w:rsid w:val="59840C5D"/>
    <w:rsid w:val="5FBE7CB8"/>
    <w:rsid w:val="60C26930"/>
    <w:rsid w:val="61BB3414"/>
    <w:rsid w:val="63C908D2"/>
    <w:rsid w:val="661E40B5"/>
    <w:rsid w:val="6A0D07CF"/>
    <w:rsid w:val="6BE450D4"/>
    <w:rsid w:val="6E2A0886"/>
    <w:rsid w:val="71135DE5"/>
    <w:rsid w:val="721D0059"/>
    <w:rsid w:val="74CE20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qFormat/>
    <w:uiPriority w:val="99"/>
    <w:rPr>
      <w:kern w:val="2"/>
      <w:sz w:val="18"/>
      <w:szCs w:val="24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1044</Words>
  <Characters>5954</Characters>
  <Lines>49</Lines>
  <Paragraphs>13</Paragraphs>
  <TotalTime>325</TotalTime>
  <ScaleCrop>false</ScaleCrop>
  <LinksUpToDate>false</LinksUpToDate>
  <CharactersWithSpaces>6985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2020-02-24T05:24:00Z</dcterms:created>
  <dc:creator>Administrator</dc:creator>
  <cp:lastModifiedBy>王宝龙</cp:lastModifiedBy>
  <cp:lastPrinted>2019-04-18T08:22:00Z</cp:lastPrinted>
  <dcterms:modified xsi:type="dcterms:W3CDTF">2021-10-09T07:07:44Z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BD0F711EAEFF4360B8D38D4AC8AE1F0E</vt:lpwstr>
  </property>
</Properties>
</file>