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11074400</wp:posOffset>
            </wp:positionV>
            <wp:extent cx="406400" cy="317500"/>
            <wp:wrapNone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9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2022年全国乙卷文综历史试题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据下图可知，商、西周青铜器铸造的繁荣（    ）</w:t>
      </w:r>
    </w:p>
    <w:p>
      <w:pPr>
        <w:spacing w:line="360" w:lineRule="auto"/>
        <w:jc w:val="left"/>
        <w:textAlignment w:val="center"/>
        <w:rPr>
          <w:color w:val="auto"/>
        </w:rPr>
      </w:pPr>
      <w:r w:rsidRPr="00BE1BCD" w:rsidR="00FC5860">
        <w:rPr>
          <w:rFonts w:hint="eastAsia"/>
        </w:rPr>
        <w:drawing>
          <wp:inline>
            <wp:extent cx="3629025" cy="284797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6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 w:rsidR="00FC5860">
        <w:rPr>
          <w:rFonts w:hint="eastAsia"/>
        </w:rPr>
        <w:br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推动了南北农业经济进步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依赖大规模商业活动开展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反映了南北方联系</w:t>
      </w:r>
      <w:r>
        <w:rPr>
          <w:rFonts w:ascii="宋体" w:eastAsia="宋体" w:hAnsi="宋体" w:cs="宋体"/>
          <w:color w:val="auto"/>
          <w:position w:val="0"/>
        </w:rPr>
        <w:drawing>
          <wp:inline>
            <wp:extent cx="133350" cy="177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72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auto"/>
        </w:rPr>
        <w:t>加强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缘于统治区域扩大到江南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依据图示可知，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商周政治重心位于黄河流域，而重要铜矿位于长江流域，长途运输成为必要，南北方联系由此加强，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符合题意；结合所学可知，青铜器比较珍贵且坚韧度不够好，未广泛用于农业，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排除；青铜铸造由官府垄断，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排除；地图未标示统治区域，无法得出扩大到江南，且青铜铸造的繁荣主要缘于技术进步等因素，地理因素不是主因，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排除。故选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eastAsia="宋体" w:hAnsi="宋体" w:cs="宋体"/>
          <w:color w:val="000000"/>
        </w:rPr>
        <w:t>本题以商周青铜器为切入点，揭示了商周青铜文明与长江流域铜矿开发的关系，引导学生得出黄河、长江两大流域共同塑造了早期华夏文明的结论，深化学生对中华文明多元一体发展的历史认知。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（摘自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教育部教育考试院：</w:t>
      </w:r>
      <w:r>
        <w:rPr>
          <w:rFonts w:ascii="Times New Roman" w:eastAsia="Times New Roman" w:hAnsi="Times New Roman" w:cs="Times New Roman"/>
          <w:color w:val="000000"/>
        </w:rPr>
        <w:t>2022</w:t>
      </w:r>
      <w:r>
        <w:rPr>
          <w:rFonts w:ascii="宋体" w:eastAsia="宋体" w:hAnsi="宋体" w:cs="宋体"/>
          <w:color w:val="000000"/>
        </w:rPr>
        <w:t>年高考历史全国卷试题评析；解析参考：商周制造青铜器的原料是从哪来的</w:t>
      </w:r>
      <w:r>
        <w:rPr>
          <w:rFonts w:ascii="Times New Roman" w:eastAsia="Times New Roman" w:hAnsi="Times New Roman" w:cs="Times New Roman"/>
          <w:color w:val="000000"/>
        </w:rPr>
        <w:t xml:space="preserve">?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盛唐洋溢着刚健丰伟、庄重博大的时代气象，这在书法艺术上亦有体现。宋代书法家米芾推崇唐代某位书法家的作品“如项羽挂甲，樊哙排突，硬弩欲张，铁柱将立，昂然有不可犯之色”。能够突出体现这一风格的书体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小篆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楷书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行书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草书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结合所学可知唐代楷书盛行，楷书具有字体方正、笔画工整、遒劲有力的特点，与材料形象化的描述相符，B项正确；小篆是秦朝时期的字体，且篆书比较舒朗，具有曲线美，排除A项；行书与草书都具有灵活、流动的特点，以适意为主，不要太受法度之限制，与材料信息不相符，排除CD项。故选B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color w:val="000000"/>
        </w:rPr>
        <w:t>本题围绕盛唐书法的时代气象和艺术风格创设情境，彰显了书法艺术承载的美学理念，引导学生培养审美感受力和领悟力，提高对美的鉴赏能力。（摘自 教育部教育考试院：2022年高考历史全国卷试题评析）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宋朝在州府设通判，重要州府设两名，民户少的州可以不置，但若武官任知州，则必置。通判有自己专属的衙门通判厅，与知州（府）共议政务、同署文书，“有军旅之事，则专任钱粮之责”。据此可知，设置通判的主要目的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规范地方行政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防止武人干政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提升军事能力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削弱州府权力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题干信息重点阐释了通判的建制员额、职责权限，通判的设置起到了协理政事、审核把关、权力监督及制衡等作用，有助于行政程序规范化和流程化、弥补知州（知府）不足之处、避免出现重大失误以及防止权力的滥用、误用，因此设置通判的主要目的在于规范地方行政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项正确；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干政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是指干预朝政（中央权力），题干信息说的是地方，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排除；通判一般都是文官，且相互制约，不能提升军事能力，排除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项﹔通判与知州一起行使州府权力，州府总体权力未变，只是分散了，削弱的不是州府，而是知州，排除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项。故选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eastAsia="宋体" w:hAnsi="宋体" w:cs="宋体"/>
          <w:color w:val="000000"/>
        </w:rPr>
        <w:t>本题围绕宋代官职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通判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的概念展开，通过对通判的建制员额、职责权限等进行阐述，从规范地方行政的角度考查通判设置的目的，学生只有深入理解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通判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这一概念的内涵和外延（通判协政理事，任责督察），方能准确作答。本题可尝试从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副手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参谋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审核员</w:t>
      </w:r>
      <w:r>
        <w:rPr>
          <w:rFonts w:ascii="Times New Roman" w:eastAsia="Times New Roman" w:hAnsi="Times New Roman" w:cs="Times New Roman"/>
          <w:color w:val="000000"/>
        </w:rPr>
        <w:t>”“</w:t>
      </w:r>
      <w:r>
        <w:rPr>
          <w:rFonts w:ascii="宋体" w:eastAsia="宋体" w:hAnsi="宋体" w:cs="宋体"/>
          <w:color w:val="000000"/>
        </w:rPr>
        <w:t>监督员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等身份理解通判。（改编自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教育部教育考试院：</w:t>
      </w:r>
      <w:r>
        <w:rPr>
          <w:rFonts w:ascii="Times New Roman" w:eastAsia="Times New Roman" w:hAnsi="Times New Roman" w:cs="Times New Roman"/>
          <w:color w:val="000000"/>
        </w:rPr>
        <w:t>2022</w:t>
      </w:r>
      <w:r>
        <w:rPr>
          <w:rFonts w:ascii="宋体" w:eastAsia="宋体" w:hAnsi="宋体" w:cs="宋体"/>
          <w:color w:val="000000"/>
        </w:rPr>
        <w:t>年高考历史全国卷试题评析）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明后期有士人称，江南流行“好名喜夸”之风，家中但凡有千金之产，必定会营建一园，“近聚土壤，远延木石，聊以矜眩于一时耳”，但“俗气扑人”。这可用于说明（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士大夫传统观念的颠覆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世俗化审美趣味的初现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士农工商社会结构解体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江南市镇工商业的繁荣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结合所学可知，明后期随着商品经济的发展，江南地区出现了资本主义萌芽、市镇普遍兴起，市镇经济对传统的社会意识、当地风俗产生冲击，形成了“好名喜夸”之风，D项正确；“颠覆”表述过于绝对，士大夫传统观念仍是以儒家思想为主，排除A项；宋朝时期甚至更早以前就已有世俗化审美趣味，“初现”表述错误，排除B项；明清时期社会结构总体稳定，“解体”表述错误，排除C项。故选D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维新变法期间，湖南巡抚陈宝箴推行变法改革，但在上《请厘正学术造就人才折》中称“康有为平日所著《孔子改制考》一书……其徒和之，持之愈坚，失之愈远，嚣然自命，号为‘康学’，而民权平等之说炽矣”，并奏请销毁《孔子改制考》。这种主张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推动了新旧势力的合流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试图突破“中体西用”束缚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有助于减少变法的阻力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意在彻底否定变法理论基础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根据材料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湖南巡抚陈宝箴推行变法改革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奏请销毁《孔子改制考》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，可以看出，陈宝箴本人是赞同并推行了变法改革的，但同时他又认为</w:t>
      </w:r>
      <w:r>
        <w:rPr>
          <w:rFonts w:ascii="Times New Roman" w:eastAsia="Times New Roman" w:hAnsi="Times New Roman" w:cs="Times New Roman"/>
          <w:color w:val="000000"/>
        </w:rPr>
        <w:t>‘</w:t>
      </w:r>
      <w:r>
        <w:rPr>
          <w:rFonts w:ascii="宋体" w:eastAsia="宋体" w:hAnsi="宋体" w:cs="宋体"/>
          <w:color w:val="000000"/>
        </w:rPr>
        <w:t>康学</w:t>
      </w:r>
      <w:r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宋体" w:eastAsia="宋体" w:hAnsi="宋体" w:cs="宋体"/>
          <w:color w:val="000000"/>
        </w:rPr>
        <w:t>使民权平等的学说非常兴盛，这会造成守旧派更大的阻扰，故其奏请销毁《孔子改制考》，是为了减少变法的阻力，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项正确；新旧势力的合流，不符合史实，排除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项；材料体现的是其奏请销毁《孔子改制考》，是为了减少变法的阻力，不是为了突破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中体西用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束缚，排除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项；彻底否定，过于绝对，不符合史实，排除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项。故选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据某位学者回忆，“‘五四’初期，一般人多以新旧分别事物”，中国古来已有的一概称为旧，古来未有或来自外国的一概称为新；不久，有了“更高的判别的准绳……对于古今、中外能够排好恰当的关系”，并不一概否定或肯定。这一转变反映出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东西方文化论争由此引发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传统儒学思想开始受到批判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全盘西化的思想得以消除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思想解放运动方向发生变化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依据材料“并不一概否定或肯定”，可知五四之后对传统文化</w:t>
      </w:r>
      <w:r>
        <w:rPr>
          <w:color w:val="000000"/>
          <w:position w:val="0"/>
        </w:rPr>
        <w:drawing>
          <wp:inline>
            <wp:extent cx="133350" cy="177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5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态度有了一定的变化，更具理性，说明思想解放运动方向发生变化，结合所学可知，五四运动后，马克思主义的传播成为新文化运动的主流，主张辩证的看待传统文化，D项正确；“由此引发”表述错误，排除A项；“开始受到批判”是在新文化运动时期，排除B项；“得以消除”表述错误，排除C项。故选D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20世纪30年代，中共中央决定将苏维埃工农共和国改变为苏维埃人民共和国，政策调整为：给一切革命的小资产阶级及其知识分子以选举权和被选举权，停止没收富农的土地及财产，允许有产阶级代表参加苏区政权管理工作，等等。上述调整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适应建立抗日民族统一战线的需要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是为武装反抗国民党进行社会动员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表明党的中心工作以夺取城市为目标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为建立民主联合政府争取广泛的支持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依据材料“苏维埃工农共和国改变为苏维埃人民共和国”“给一切革命的小资产阶级及其知识分子以选举权和被选举权，停止没收富农的土地及财产，允许有产阶级代表参加苏区政权管理工作”，可以看出这一时期给了其他阶级一定的权利，拉拢其他阶级，共同为抗战服务，A项正确；材料涉及的抗战，不是武装反抗国民党，排除B项；材料未涉及党的中心工作的变化，排除C项；1944年才提出建立民主联合政府，时间不符，排除D项。故选A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下图是1978年与1986年北京郊区男户主职业占比变化情况。这一变化的产生主要是由于（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>
            <wp:extent cx="3676650" cy="1600200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8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城市经济体制改革开始酝酿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农村经济体制改革深化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城乡之间的差异呈缩小趋势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城市产业结构日益完善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依据材料图示可以看出，农业占比减少，工商业、运输业等的占比有所增长。20世纪80年代,随着家庭联产承包责任制的推广,农业劳动力逐步从土地的束缚中解放出来,形成了日益庞大的农村富余劳动力群体，加上此时农村改革进入市场化改革探索阶段(1985～1991)，更多农民选择从事别的职业，因此有了个体工商、物流运输等迅速发展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项正确；城市经济体制改革的重点是国有企业改革，排除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项；材料不能看出城乡之间的差距，排除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项；材料反映的郊区的发展，排除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项。故选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项。（参考百度百科 农村经济体制改革深化）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据学者研究，古代雅典官员在接受任职资格审查时，需要回答：直系亲属姓名及男性亲属所在村社名称、崇拜的神祗及其圣所所在地、墓葬方位、是否善待双亲、是否纳税、是否服兵役等。下列属于成为古代雅典官员前提条件的是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军事才能、宗教信仰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道德品质、演说能力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丰厚财力、贵族血统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本邦籍贯、成年男性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依据材料“直系亲属、男性亲属所在村社”结合所学可知，成为雅典官员的先决条件是具有雅典籍贯的成年男性公民，D项正确；“信仰、品质、能力、财力、血统”只是成为官员的“加分项”，不是“必须项”，排除ABC项。故选D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16世纪中叶，法国人帕斯基耶写作《法国研究》时说，“我用俗语（而非拉丁语）写作”；布代的《论钱币》处处流露出捍卫法国文化并与意大利人竞争的意识。有学者因此认为，16世纪是“法国意识”萌发的世纪。据此可知，“法国意识”的萌发缘于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人文主义思想的广泛传播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新兴阶层摆脱宗教神权束缚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资本主义经济的迅猛发展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“人民主权”学说深入人心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根据材料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竞争意识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及所学知识可知，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法国意识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实际上属于民族意识，自从意大利文艺复兴以来，法国不断吸收意大利文化，并经历了从模仿到超越的阶段，题干内容属于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试图超越阶段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，法国人的民族自尊心使得法国人处处想要超越意大利文化，学者的行为显示出捍卫法国学术尊严的意愿和决心，因此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法国意识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的萌发缘于意大利人文主义思想的传播，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项正确；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项属于人文主义传播带来的影响，题干问的是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发缘于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（起因），排除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项；</w:t>
      </w:r>
      <w:r>
        <w:rPr>
          <w:rFonts w:ascii="Times New Roman" w:eastAsia="Times New Roman" w:hAnsi="Times New Roman" w:cs="Times New Roman"/>
          <w:color w:val="000000"/>
        </w:rPr>
        <w:t>19</w:t>
      </w:r>
      <w:r>
        <w:rPr>
          <w:rFonts w:ascii="宋体" w:eastAsia="宋体" w:hAnsi="宋体" w:cs="宋体"/>
          <w:color w:val="000000"/>
        </w:rPr>
        <w:t>世纪的革命风暴、殖民掠夺、工业革命导致了资本主义经济迅猛发展，排除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项；启蒙运动时期，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人民主权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学说深入人心，排除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项。故选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项。（解析参考论文：意大利时刻</w:t>
      </w:r>
      <w:r>
        <w:rPr>
          <w:rFonts w:ascii="Times New Roman" w:eastAsia="Times New Roman" w:hAnsi="Times New Roman" w:cs="Times New Roman"/>
          <w:color w:val="000000"/>
        </w:rPr>
        <w:t>16</w:t>
      </w:r>
      <w:r>
        <w:rPr>
          <w:rFonts w:ascii="宋体" w:eastAsia="宋体" w:hAnsi="宋体" w:cs="宋体"/>
          <w:color w:val="000000"/>
        </w:rPr>
        <w:t>世纪法国对意大利文化的接受）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1879年，德国杜伊斯堡成为世界最大内河港口，输入矿砂和粮食，输出煤和钢铁制品。1900年，德国船队总吨位由1870年不足百万吨发展至近200万吨，成为蒸汽时代以来第一个能与大英帝国一争高低的船队。由此可知，这一时期的德国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已经确立“世界工厂”的地位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航运业的发展助长其海外扩张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海上实力飞跃源于蒸汽机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1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改进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共和政体确立推动经济飞速发展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依据材料“1900年，德国船队总吨位由1870年不足百万吨发展至近200万吨，成为蒸汽时代以来第一个能与大英帝国一争高低</w:t>
      </w:r>
      <w:r>
        <w:rPr>
          <w:color w:val="000000"/>
          <w:position w:val="0"/>
        </w:rPr>
        <w:drawing>
          <wp:inline>
            <wp:extent cx="133350" cy="177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7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船队”，可以看出此时德国的航运业发展速度非常迅猛，经济的发展，国家实力的增强，促使其海外扩张，试图与英国争夺争夺“阳光下的地盘”，B项正确；“世界工厂”是对英国的称呼，排除A项；材料不能看出航运飞速发展的原因，排除C项；德国是君主立宪制，排除D项。故选B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1917年3月中旬，加米涅夫和斯大林连续发表文章，主张只要临时政府不直接危及群众利益，就应给予支持；要求放弃无条件反对战争的立场，改行对临时政府施加压力以迫其开始和谈的策略。这个主张得到了党内大多数人的支持。这表明当时（ 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临时政府反对继续进行帝国主义战争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沙皇残余势力仍对革命存在严重威胁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>
            <wp:extent cx="31750" cy="889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23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布尔什维克党对革命形势认识尚不明晰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国际局势不利于俄国革命持续深入发展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依据材料可知，此时俄布部分领导人对临时政府的认识还不深刻，有一定的妥协成分，对革命形势尚未明晰，对此，列宁发表了《四月提纲》，明确提出从资产阶级革命过渡到社会主义革命的计划，C项正确；临时政府主张继续进行帝国主义战争，排除A项；材料未涉及沙皇残余势力，排除B项；一战时期，列强忙于战争，无暇干预俄国革命，排除D项。故选C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阅读材料，完成下列要求。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材料一  20世纪50年代，日本颁布“外资法”等一系列法规，加强对技术引进的管理，政府有关部门根据不同时期经济发展的需要，列出鼓励进口和限制进口的技术项目，对私人企业的技术引进加以指导，其后，日本政府逐渐放宽引进技术的管理和审查标准，企业决定引进方式和内容，并承担引进过程中的一切风险，所引进的技术主要来自欧美。1962年到1966年，在企业提出的技术引进申请中，有90.4%获得了批准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——摘编自王永生《技术进步及其组织——日本的经验与中国的实践》等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材料二  新中国成立后即确立发展科技的方针。1956年，国家制定12年科技规划，明确提出在进行科学研究时，应该首先掌握世界现有的先进科学成就，在开展国际科学合作时应力求自力更生，在技术引进方面，50年代，由苏联援建、成套供应设备的项目共计304项；由东欧各国援建、成套供应设备的建设项目共116项、引进成套设备的同时，还重视引进科学技术、人才、资金和管理经验。1960年，苏联政府决定撤走全部在华专家，这以后，我国完全依靠自己的力量发展国防尖端科学技术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——摘编自杨德才等《二十世纪中国科学技术史稿》等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材料三  20世纪五六十年代，中国面对着严峻的国际形势、党中央果断决定研制“两弹一星”重点突破国防尖端技术，中央确定我国国防尖端科技的发展，要坚持自力更生为主、力争外援和利用资本主义国家已有的科学成果的方针，强调把立足点放在自力更生的基础上，通过自己的科学研究和实践，培养人才，掌握技术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——据中共中央党史研究室《中国共产党历史》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根据材料一、二，概括20世纪五六十年代中日两国技术引进的特点。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根据材料并结合所学知识，分析中日技术引进呈现不同特点的背景。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根据材料并结合所学知识，简析20世纪五六十年代中国科技发展的历史经验。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 xml:space="preserve">特点：日本：政府指导，私人企业主导；制定法律保障；引入标准逐渐放宽；与经济发展相适应；引入技术主要来自欧美；日本加入资本主义阵营。中国：政府主导；国际合作和自力更生相结合；引入技术主要来自以苏联为首的社会主义阵营；引入范围广泛，侧重尖端技术。 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>背景：日本：国家垄断资本主义的发展；美国对日本的扶持；日本经济在二战中遭受重创。中国：社会主义制度的建立；美国对新中国的鼓励与遏制；国民经济的恢复与发展以及一五计划的推动；受到冷战的影响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t>历史经验：科技发展要坚持自力更生和引入技术相结合；重视尖端国防科技的研发；重视科技人才的引入和培养；注重技术创新。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 xml:space="preserve"> （1）特点：日本：根据材料“政府有关部门根据不同时期经济发展的需要”“企业决定引进方式和内容”可知，政府指导，私人企业主导；根据材料“ 20世纪50年代，日本颁布‘外资法’等一系列法规，加强对技术引进的管理”可知，制定法律保障；根据材料“日本政府逐渐放宽引进技术的管理和审查标准”可知，引入标准逐渐放宽；根据材料“政府有关部门根据不同时期经济发展的需要，列出鼓励进口和限制进口的技术项目”可知，与经济发展相适应；根可知，据材料“所引进的技术主要来自欧美”引入技术主要来自欧美。中国：根据材料“新中国成立后即确立发展科技的方针。1956年，国家制定12年科技规划”可知，政府主导，计划发展；根据材料“明确提出在进行科学研究时，应该首先掌握世界现有的先进科学成就，在开展国际科学合作时应力求自力更生”可知，国际合作和自力更生相结合；根据材料“50年代，由苏联援建、成套供应设备的项目共计304项；由东欧各国援建、成套供应设备的建设项目共116项、引进成套设备的同时，还重视引进科学技术、人才、资金和管理经验”可知，引入技术主要来自以苏联为首的社会主义阵营、引入范围广泛，侧重尖端技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背景：日本：根据材料时间可知，这一时期国家垄断资本主义的发展，日本政府加强了国家对经济的干预；根据所学知识可知，美国对日本的扶持；根据所学知识可知，冷战时期，日本加入了资本主义阵营；根据所学知识可知，日本经济在二战中遭受重创，因此大量引入技术。中国：根据所学知识可知，1956年，社会主义制度的建立，确立了计划经济体制；从外交环境看，这一时期美国对新中国的鼓励与遏制；从经济发展角度看，这一时期国民经济的恢复与发展以及一五计划的推动；根据所学知识可知，中国的技术引入受到冷战的影响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历史经验：根据材料“要坚持自力更生为主、力争外援和利用资本主义国家已有的科学成果的方针”可知，科技发展要坚持自力更生和引入技术相结合；从发展领域看，重视尖端国防科技的研发；根据材料“通过自己的科学研究和实践，培养人才，掌握技术。”可知，重视科技人才的引入和培养；根据所学知识可知，要注重技术创新；根据所学知识可知，要坚持中国共产党的领导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阅读材料，完成下列要求。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解读史料，获得历史认识，探寻史料表象背后的意蕴，是历史学的魅力所在。下表为史书所载东汉时期几位良吏的事迹。</w:t>
      </w:r>
    </w:p>
    <w:tbl>
      <w:tblPr>
        <w:tblStyle w:val="TableNormal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70"/>
        <w:gridCol w:w="596"/>
        <w:gridCol w:w="8864"/>
      </w:tblGrid>
      <w:tr>
        <w:tblPrEx>
          <w:tblW w:w="83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任职地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楷体" w:eastAsia="楷体" w:hAnsi="楷体" w:cs="楷体"/>
                <w:b/>
                <w:color w:val="000000"/>
              </w:rPr>
            </w:pPr>
            <w:r>
              <w:rPr>
                <w:rFonts w:ascii="楷体" w:eastAsia="楷体" w:hAnsi="楷体" w:cs="楷体"/>
                <w:b/>
                <w:color w:val="000000"/>
              </w:rPr>
              <w:t>事迹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刘陵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安成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（今属江西）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先时多虎，百姓患之，皆徙他县。陵之官，修德政，逾月，虎悉出界去，民皆还之。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法雄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南郡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（今属湖北）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郡）多虎狼之暴，前太守赏募张捕，反为所害者甚众。雄乃移书属县曰：“凡虎狼之在山林，犹人民之居城市。古者至化之世，猛兽不扰。皆由恩信宽泽，仁及飞（禽）走（兽）……其毁坏槛阱，不得妄捕山林。”是后虎害稍息，人以获安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刘平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全椒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（今属安徽）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县多虎为害，平到修政，选进儒良，黜贪残，视事三月，虎皆渡江而去。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童恢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不其</w:t>
            </w:r>
          </w:p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（今属山东）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</w:rPr>
              <w:t>民尝为虎所害，乃设槛捕之，生获二虎。恢闻而出，咒虎曰：“天生万物，唯人为贵……汝若是杀人者，当垂头服罪；自知非者，当号呼称冤。”一虎低头闭目，状如震惧，即时杀之。其一视恢鸣吼，踊跃自奋，遂令放释。吏人为之歌颂。</w:t>
            </w:r>
          </w:p>
        </w:tc>
      </w:tr>
    </w:tbl>
    <w:p>
      <w:pPr>
        <w:spacing w:line="360" w:lineRule="auto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——据《后汉书》等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阐述从上述材料中发现的历史现象，并得出一个结论。（要求：现象源自材料，结论明确，史论结合，表述清晰。）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南郡前太守仅仅采取张捕的方式处理虎患，反而让更多百姓受到伤害。刘陵为官，通过修德政，虎去民安；法雄为官，恩信宽泽，仁及飞禽走兽，不妄捕山林，虎患解决；刘平为官，修德政，举儒良，虎患解决；童恢崇尚人本（民本）思想，在捕虎的同时，以“天生万物，唯人为贵”之理训诫老虎，以其正气可渲染到虎，令虎暗通其言，知过伏罪。</w:t>
      </w:r>
      <w:r>
        <w:rPr>
          <w:color w:val="000000"/>
        </w:rPr>
        <w:br/>
      </w:r>
      <w:r>
        <w:rPr>
          <w:color w:val="000000"/>
        </w:rPr>
        <w:t>从史书所载东汉时期几位良吏的事迹，可以发现这样一个现象：东汉时期，如果地方官吏不黜贪残，而仅是抓捕老虎，反而使得虎患危害更大，而通过德治仁及畜类，则收效甚佳，不除吏中之“虎”，仅除“山中之虎”，达不到治理虎患的理想效果。虎患的治理效果受到吏治好坏的影响。</w:t>
      </w:r>
      <w:r>
        <w:rPr>
          <w:color w:val="000000"/>
        </w:rPr>
        <w:br/>
      </w:r>
      <w:r>
        <w:rPr>
          <w:color w:val="000000"/>
        </w:rPr>
        <w:t>这说明在东汉时期，儒家思想仍是主流意识，深刻影响了官员的行为，官员们通过修德政（或仁政）来达到感化万物，治理虎患的目的，也体现儒家天人感应思想对当时社会的影响。总之，儒家思想深刻影响了东汉官吏的理政方式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本题可抓住关键词“德政、选进儒良、仁及飞走、黜贪残、唯人为贵”，从儒家的德政（仁政）、“天人感应”、““以人为贵”的民本思想，亦或“反腐”“惩凶除恶”（除吏中之“虎”）等角度切入。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阐述可分别概述刘陵、法雄、刘平、童恢等四人的为官功绩，并结合南郡前太守等失败案例，进行对比。接着结合东汉时期儒学主流价值观对士大夫的影响进行分析，点出“德政”“天人感应”等关键信息，最后得出儒家思想深刻影响了东汉官吏的理政方式。史论结合，表述清晰即可。（参考论文 东汉“虎患型史事”论析）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[历史——选修1：历史上重大改革回眸]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商鞅变法，严惩百姓私相斗殴行为，奖励军功，授以爵位田宅，养成“民勇于公战，怯于私斗”的风气，秦国的军队几乎战无不胜，统治区域不断扩大，被当时六国人称为“虎狼之国”。荀子曾访问秦国，他认为秦国管理有效，承认秦国军队战斗力强悍：“齐之技击，不可以遇魏氏之武卒；魏氏之武卒，不可以遇秦之锐士。”但他认为按商鞅之法组建的秦国军队，“隆势诈，尚功利”，无礼义教化，“干赏蹈利”（求赏逐利），只能称之为“盗兵”，“尚功利之兵，则胜、不胜，无常”，不能与春秋时齐桓公的军队相比，更不能与商汤王、周武王那样的仁义之师相提并论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——摘编自《荀子》等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根据材料并结合所学知识，简析荀子称商鞅变法后的秦国军队为“盗兵”的原因。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根据材料并结合所学知识，评价商鞅的军事改革。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原因：商鞅变法使百姓勇于公战，军队战斗力强；秦国军队过于注重功利；秦国军队无礼义教化，不是仁义之师；秦国军队战斗是“独夫”行为，没有纪律约束；荀子的儒家立场。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>评价：</w:t>
      </w:r>
      <w:r>
        <w:rPr>
          <w:color w:val="000000"/>
        </w:rPr>
        <w:br/>
      </w:r>
      <w:r>
        <w:rPr>
          <w:color w:val="000000"/>
        </w:rPr>
        <w:t>积极：提高了军队战斗力，壮大了军事力量；沉重的打击了奴隶主旧贵族，促进了新兴地主阶级的崛起；促进了中央集权制度的建立；为后来秦国统一六国奠定了基础；为后世军事改革提供借鉴；一定程度上有利于秦国国内秩序的安定，保证农业和社会经济的发展。</w:t>
      </w:r>
      <w:r>
        <w:rPr>
          <w:color w:val="000000"/>
        </w:rPr>
        <w:br/>
      </w:r>
      <w:r>
        <w:rPr>
          <w:color w:val="000000"/>
        </w:rPr>
        <w:t>消极：尚功利、轻教化，军队的整体素质不高，不敌仁义之师，为后来秦国二世而亡埋下隐患。</w:t>
      </w:r>
      <w:r>
        <w:rPr>
          <w:color w:val="000000"/>
        </w:rPr>
        <w:br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（1）原因：根据材料“商鞅变法，严惩百姓私相斗殴行为，奖励军功，授以爵位田宅，养成‘民勇于公战，怯于私斗’的风气，秦国的军队几乎战无不胜”可知商鞅变法使百姓勇于公战，军队战斗力强；根据材料“隆势诈，尚功利”可知秦国军队过于注重功利；根据材料“无礼义教化”可知秦国军队无礼义教化，不是仁义之师；根据所学知识可知秦国军队战斗是“独夫”行为，没有纪律约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评价：根据材料和所学知识要辩证看待，主要可从军事、政治、经济、后世等角度分析，具体分析可得积极：提高了军队战斗力，壮大了军事力量；沉重的打击了奴隶主旧贵族，促进了新兴地主阶级的崛起；促进了中央集权制度的建立；为后来秦国统一六国奠定了基础；为后世军事改革提供借鉴；一定程度上有利于秦国国内秩序的安定，保证农业和社会经济的发展。消极：尚功利、轻教化，军队的整体素质不高，不敌仁义之师，为后来秦国二世而亡埋下隐患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[历史——选修3：20世纪的战争与和平]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1955年12月，美国、英国意欲资助埃及修建阿斯旺水坝，并提出一系列附加条件，但为埃及领导人纳赛尔拒绝。次年6月，苏联提出为埃及修建阿斯旺水坝提供无附加条件的贷款。7月，在美英两国先后宣布撤销对阿斯旺水坝的援助后，纳赛尔也宣布将英、法控制的苏伊士运河公司收归国有。英国和法国对埃及这一决定反应非常强烈，决定以军事手段维护两国的利益。8月10日，苏联发表声明，支持埃及将运河国有化的决定。10月29日，英法联合以色列向埃及发动进攻，苏伊士运河战争爆发。在美国和苏联的压力下，英法两国和以色列在11月6日宣布停火。此后，法国进一步走上寻求欧洲联合的道路，英国也加快了从殖民地撤离的步伐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——摘编自王缉思、牛军主编《缔造霸权：冷战时期的美国战略与决策》等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根据材料并结合所学知识，简析苏伊士运河战争爆发前后美国对英国的态度变化及其目的。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根据材料并结合所学知识，说明苏伊士运河战争对当时西方阵营的影响。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变化：从支持英国打压埃及到联合苏联反对并制止苏伊士战争。目的：战争爆发前：美国想要介入中东地区，增强美国对埃及的影响力；遏制苏联。战争爆发后：避免和苏联发生直接冲突；乘机拉拢埃及，与苏联争夺中间地带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>影响：进一步打击了英法在中东地区的影响力；加速了西方阵营的内部分裂，尤其是美国和法国；客观上推动了欧洲进一步联合；扩大了美国对中东的影响力。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（1）变化：根据材料“ 1955年12月，美国、英国意欲资助埃及修建阿斯旺水坝，并提出一系列附加条件”“在美国和苏联的压力下，英法两国和以色列在11月6日宣布停火”可知，从支持英国打压埃及到联合苏联反对并制止苏伊士战争。目的：战争爆发前：根据材料并结合所学知识可知，美国借助英国，想要介入中东地区，增强美国对埃及的影响力；埃及战略位置重要，美国想要遏制苏联。战争爆发后：苏联支持埃及，美国为了避免和苏联发生直接冲突；美国制止苏伊士运河战争，乘机拉拢埃及，与苏联争夺中间地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影响：苏伊士运动战争中，英法被迫停火，进一步打击了英法在中东地区的影响力；根据材料“法国进一步走上寻求欧洲联合的道路，英国也加快了从殖民地撤离的步伐。”可知，加速了西方阵营的内部分裂，尤其是美国和法国、客观上推动了欧洲进一步联合；根据所学知识可知，扩大了美国对中东的影响力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[历史——选修4：中外历史人物评说]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材料  1948年11月，中共中央发出关于在新解放城市中召开各界人民代表会议的指示。1949年8月至12月，毛泽东以中央或个人名义发出多份电报，督促各地尽快召开各界人民代表会议，并报告开会情况；批复和批转不少地区关于召开各界人民代表会议的报告，推广开会经验。毛泽东在指导各地召开各界人民代表会议的实践中，提出一系列带有方针、政策性的重要指导思想：各界人民代表会议是人民代表大会的前身，是人民群众参政议政的初期组织形式；召开各界人民代表会议是一件大事，这个会议是团结各界人民的重要工具；在党的领导下，充分发扬民主，切实开好各界人民代表会议。1949年7月以后，由于党中央和毛泽东发出许多关于召开各界人民代表会议的指示，各地都迅速召开这一会议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——摘编自《党的文献》编辑部《共和国走过的路—建国以来重要文献专题选集》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根据材料并结合所学知识，说明毛泽东高度重视各界人民代表会议的原因。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根据材料并结合所学知识，简析毛泽东督促召开各界人民代表会议的历史意义。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color w:val="000000"/>
        </w:rPr>
        <w:t>原因：团结各界人民的重要工具；中国共产党的政党属性决定；充分发扬民主的需要；为全国人民代表大会准备条件；团结人民推翻国民党统治的需要。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color w:val="000000"/>
        </w:rPr>
        <w:t>充分体现了“人命当家做主”的理念；体现了中共“全心全意为人民服务”的宗旨；为全国人民代表大会的召开创造了坚实的基础；团结各界人民，推翻国民党反动派，为建立新中国做准备。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（1）原因：依据材料“团结各界人民的重要工具”“在党的领导下，充分发扬民主，切实开好各界人民代表会议”，得出团结各界人民的重要工具；中国共产党的政党属性决定；充分发扬民主的需要；结合所学知识可知，为全国人民代表大会准备条件；团结人民推翻国民政府的需要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历史意义：结合所学知识可知，充分体现了“人命当家做主”的理念；体现了中共“全心全意为人民服务”的宗旨；为全国人民代表大会的召开创造了坚实的基础；团结各界人民，推翻国民党反动派，为建立新中国做准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10"/>
          <w:footerReference w:type="default" r:id="rId11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>
        <w:rPr>
          <w:color w:val="000000"/>
        </w:rPr>
        <w:drawing>
          <wp:inline>
            <wp:extent cx="6188710" cy="7406488"/>
            <wp:docPr id="100019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0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62914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0609999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9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wmf" /><Relationship Id="rId8" Type="http://schemas.openxmlformats.org/officeDocument/2006/relationships/image" Target="media/image4.png" /><Relationship Id="rId9" Type="http://schemas.openxmlformats.org/officeDocument/2006/relationships/image" Target="media/image5.wm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2997489553883136</dc:description>
  <cp:lastModifiedBy>学科网试题生产平台</cp:lastModifiedBy>
  <cp:revision>6</cp:revision>
  <dcterms:created xsi:type="dcterms:W3CDTF">2022-06-10T18:54:19Z</dcterms:created>
  <dcterms:modified xsi:type="dcterms:W3CDTF">2022-06-10T18:54:19Z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