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12306300</wp:posOffset>
            </wp:positionH>
            <wp:positionV relativeFrom="topMargin">
              <wp:posOffset>11214100</wp:posOffset>
            </wp:positionV>
            <wp:extent cx="457200" cy="431800"/>
            <wp:wrapNone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0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2"/>
        </w:rPr>
        <w:t>2022年全国乙卷文综历史试题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据下图可知，商、西周青铜器铸造的繁荣（    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Pr="00BE1BCD" w:rsidR="00FC5860">
        <w:rPr>
          <w:rFonts w:hint="eastAsia"/>
        </w:rPr>
        <w:drawing>
          <wp:inline>
            <wp:extent cx="3629025" cy="2847975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51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BCD" w:rsidR="00FC5860">
        <w:rPr>
          <w:rFonts w:hint="eastAsia"/>
        </w:rPr>
        <w:br/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推动了南北农业经济进步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依赖大规模商业活动开展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反映了南北方联系的加强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缘于统治区域扩大到江南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盛唐洋溢着刚健丰伟、庄重博大的时代气象，这在书法艺术上亦有体现。宋代书法家米芾推崇唐代某位书法家的作品“如项羽挂甲，樊哙排突，硬弩欲张，铁柱将立，昂然有不可犯之色”。能够突出体现这一风格的书体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小篆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楷书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行书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草书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宋朝在州府设通判，重要州府设两名，民户少的州可以不置，但若武官任知州，则必置。通判有自己专属的衙门通判厅，与知州（府）共议政务、同署文书，“有军旅之事，则专任钱粮之责”。据此可知，设置通判的主要目的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</w:t>
      </w:r>
      <w:r>
        <w:rPr>
          <w:rFonts w:ascii="宋体" w:eastAsia="宋体" w:hAnsi="宋体" w:cs="宋体"/>
          <w:color w:val="000000"/>
          <w:position w:val="-22"/>
        </w:rPr>
        <w:drawing>
          <wp:inline>
            <wp:extent cx="31750" cy="889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39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规范地方行政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防止武人干政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提升军事能力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削弱州府权力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明后期有士人称，江南流行“好名喜夸”之风，家中但凡有千金之产，必定会营建一园，“近聚土壤，远延木石，聊以矜眩于一时耳”，但“俗气扑人”</w:t>
      </w:r>
      <w:r>
        <w:rPr>
          <w:rFonts w:ascii="宋体" w:eastAsia="宋体" w:hAnsi="宋体" w:cs="宋体"/>
          <w:color w:val="000000"/>
          <w:position w:val="-12"/>
        </w:rPr>
        <w:drawing>
          <wp:inline>
            <wp:extent cx="127000" cy="762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01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这可用于说明（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士大夫传统观念的颠覆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世俗化审美趣味的初现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士农工商社会结构解体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江南市镇工商业的繁荣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维新变法期间，湖南巡抚陈宝箴推行变法改革，但在上《请厘正学术造就人才折》中称“康有为平日所著《孔子改制考》一书……其徒和之，持之愈坚，失之愈远，嚣然自命，号为‘康学’，而民权平等之说炽矣”，并奏请销毁《孔子改制考》。这种主张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推动了新旧势力的合流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试图突破“中体西用”束缚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有助于减少变法的阻力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意在彻底否定变法理论基础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据某位学者回忆，“‘五四’初期，一般人多以新旧分别事物”，中国古来已有的一概称为旧，古来未有或来自外国的一概称为新；不久，有了“更高的判别的准绳……对于古今、中外能够排好恰当的关系”，并不一概否定或肯定。这一转变反映出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</w:t>
      </w:r>
      <w:r>
        <w:rPr>
          <w:rFonts w:ascii="宋体" w:eastAsia="宋体" w:hAnsi="宋体" w:cs="宋体"/>
          <w:color w:val="000000"/>
          <w:position w:val="-22"/>
        </w:rPr>
        <w:drawing>
          <wp:inline>
            <wp:extent cx="31750" cy="889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15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东西方文化论争由此引发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传统儒学思想开始受到批判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全盘西化的思想得以消除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思想解放运动方向发生变化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20世纪30年代，中共中央决定将苏维埃工农共和国改变为苏维埃人民共和国，政策调整为：给一切革命的小资产阶级及其知识分子以选举权和被选举权，停止没收富农的土地及财产，允许有产阶级代表参加苏区政权管理工作，等等。上述调整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适应建立抗日民族统一战线的需要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是为武装反抗国民党进行社会动员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表明党的中心工作以夺取城市为目标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为建立民主联合政府争取广泛的支持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下图是1978年与1986年北京郊区男户主职业占比变化情况。这一变化的产生主要是由于（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3676650" cy="1600200"/>
            <wp:docPr id="10000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19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城市经济体制改革开始酝酿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农村经济体制改革深化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城乡之间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06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差异呈缩小趋势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城市产业结构日益完善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据学者研究，古代雅典官员在接受任职资格审查时，需要回答：直系亲属姓名及男性亲属所在村社名称、崇拜的神祗及其圣所所在地、墓葬方位、是否善待双亲、是否纳税、是否服兵役等。下列属于成为古代雅典官员前提条件的是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军事才能、宗教信仰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道德品质、演说能力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丰厚财力、贵族血统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本邦籍贯、成年男性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16世纪中叶，法国人帕斯基耶写作《法国研究》时说，“我用俗语（而非拉丁语）写作”；布代的《论钱币》处处流露出捍卫法国文化并与意大利人竞争的意识。有学者因此认为，16世纪是“法国意识”萌发的世纪。据此可知，“法国意识”的萌发缘于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人文主义思想的广泛传播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新兴阶层摆脱宗教神权束缚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资本主义经济的迅猛发展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“人民主权”学说深入人心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1879年，德国杜伊斯堡成为世界最大内河港口，输入矿砂和粮食，输出煤和钢铁制品。1900年，德国船队总吨位由1870年不足百万吨发展至近200万吨，成为蒸汽时代以来第一个能与大英帝国一争高低的船队。由此可知，这一时期的德国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已经确立“世界工厂”的地位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航运业的发展助长其海外扩张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海上实力飞跃源于蒸汽机的改进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共和政体确立推动经济飞速发展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1917年3月中旬，加米涅夫和斯大林连续发表文章，主张只要临时政府不直接危及群众利益，就应给予支持；要求放弃无条件反对战争的立场，改行对临时政府施加压力以迫其开始和谈的策略。这个主张得到了党内大多数人的支持。这表明当时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临时政府反对继续进行帝国主义战争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沙皇残余势力仍对革命存在严重威胁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布尔什维克党对革命形势认识尚不明晰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国际局势不利于俄国革命持续深入发展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阅读材料，完成下列要求。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材料一  20世纪50年代，日本颁布“外资法”等一系列法规，加强对技术引进的管理，政府有关部门根据不同时期经济发展的需要，列出鼓励进口和限制进口的技术项目，对私人企业的技术引进加以指导，其后，日本政府逐渐放宽引进技术的管理和审查标准，企业决定引进方式和内容，并承担引进过程中的一切风险，所引进的技术主要来自欧美。1962年到1966年，在企业提出的技术引进申请中，有90.4%获得了批准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——摘编自王永生《技术进步及其组织——日本的经验与中国的实践》等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材料二  新中国成立后即确立发展科技的方针。1956年，国家制定12年科技规划，明确提出在进行科学研究时，应该首先掌握世界现有的先进科学成就，在开展国际科学合作时应力求自力更生，在技术引进方面，50年代，由苏联援建、成套供应设备的项目共计304项；由东欧各国援建、成套供应设备的建设项目共116项、引进成套设备的同时，还重视引进科学技术、人才、资金和管理经验。1960年，苏联政府决定撤走全部在华专家，这以后，我国完全依靠自己的力量发展国防尖端科学技术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——摘编自杨德才等《二十世纪中国科学技术史稿》等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材料三  20世纪五六十年代，中国面对着严峻的国际形势、党中央果断决定研制“两弹一星”重点突破国防尖端技术，中央确定我国国防尖端科技的发展，要坚持自力更生为主、力争外援和利用资本主义国家已有的科学成果的方针，强调把立足点放在自力更生的基础上，通过自己的科学研究和实践，培养人才，掌握技术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——据中共中央党史研究室《中国共产党历史》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根据材料一、二，概括20世纪五六十年代中日两国技术引进的特点。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根据材料并结合所学知识，分析中日技术引进呈现不同特点的背景。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根据材料并结合所学知识，简析20世纪五六十年代中国科技发展的历史经验。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阅读材料，完成下列要求。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  解读史料，获得历史认识，探寻史料表象背后的意蕴，是历史学的魅力所在。下表为史书所载东汉时期几位良吏的事迹。</w:t>
      </w:r>
    </w:p>
    <w:tbl>
      <w:tblPr>
        <w:tblStyle w:val="TableNormal"/>
        <w:tblW w:w="8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70"/>
        <w:gridCol w:w="596"/>
        <w:gridCol w:w="8864"/>
      </w:tblGrid>
      <w:tr>
        <w:tblPrEx>
          <w:tblW w:w="832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b/>
                <w:color w:val="000000"/>
              </w:rPr>
            </w:pPr>
            <w:r>
              <w:rPr>
                <w:rFonts w:ascii="楷体" w:eastAsia="楷体" w:hAnsi="楷体" w:cs="楷体"/>
                <w:b/>
                <w:color w:val="000000"/>
              </w:rPr>
              <w:t>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b/>
                <w:color w:val="000000"/>
              </w:rPr>
            </w:pPr>
            <w:r>
              <w:rPr>
                <w:rFonts w:ascii="楷体" w:eastAsia="楷体" w:hAnsi="楷体" w:cs="楷体"/>
                <w:b/>
                <w:color w:val="000000"/>
              </w:rPr>
              <w:t>任职地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楷体" w:eastAsia="楷体" w:hAnsi="楷体" w:cs="楷体"/>
                <w:b/>
                <w:color w:val="000000"/>
              </w:rPr>
            </w:pPr>
            <w:r>
              <w:rPr>
                <w:rFonts w:ascii="楷体" w:eastAsia="楷体" w:hAnsi="楷体" w:cs="楷体"/>
                <w:b/>
                <w:color w:val="000000"/>
              </w:rPr>
              <w:t>事迹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刘陵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安成</w:t>
            </w:r>
          </w:p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（今属江西）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先时多虎，百姓患之，皆徙他县。陵之官，修德政，逾月，虎悉出界去，民皆还之。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法雄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南郡</w:t>
            </w:r>
          </w:p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（今属湖北）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（郡）多虎狼之暴，前太守赏募张捕，反为所害者甚众。雄乃移书属县曰：“凡虎狼之在山林，犹人民之居城市。古者至化之世，猛兽不扰。皆由恩信宽泽，仁及飞（禽）走（兽）……其毁坏槛阱，不得妄捕山林。”是后虎害稍息，人以获安。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刘平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全椒</w:t>
            </w:r>
          </w:p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（今属安徽）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县多虎为害，平到修政，选进儒良，黜贪残，视事三月，虎皆渡江而去。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童恢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不其</w:t>
            </w:r>
          </w:p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（今属山东）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民尝为虎所害，乃设槛捕之，生获二虎。恢闻而出，咒虎曰：“天生万物，唯人为贵……汝若是杀人者，当垂头服罪；自知非者，当号呼称冤。”一虎低头闭目，状如震惧，即时杀之。其一视恢鸣吼，踊跃自奋，遂令放释。吏人为之歌颂。</w:t>
            </w:r>
          </w:p>
        </w:tc>
      </w:tr>
    </w:tbl>
    <w:p>
      <w:pPr>
        <w:spacing w:line="360" w:lineRule="auto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——据《后汉书》等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阐述从上述材料中发现的历史现象，并得出一个结论。（要求：现象源自材料，结论明确，史论结合，表述清晰。）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[历史——选修1：历史上重大改革回眸]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  商鞅变法，严惩百姓私相斗殴行为，奖励军功，授以爵位田宅，养成“民勇于公战，怯于私斗”的风气，秦国的军队几乎战无不胜，统治区域不断扩大，被当时六国人称为“虎狼之国”。荀子曾访问秦国，他认为秦国管理有效，承认秦国军队战斗力强悍：“齐之技击，不可以遇魏氏之武卒；魏氏之武卒，不可以遇秦之锐士。”但他认为按商鞅之法组建的秦国军队，“隆势诈，尚功利”，无礼义教化，“干赏蹈利”（求赏逐利），只能称之为“盗兵”，“尚功利之兵，则胜、不胜，无常”，不能与春秋时齐桓公的军队相比，更不能与商汤王、周武王那样的仁义之师相提并论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——摘编自《荀子》等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根据材料并结合所学知识，简析荀子称商鞅变法后的秦国军队为“盗兵”的原因。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根据材料并结合所学知识，评价商鞅的军事改革。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[历史——选修3：20世纪的战争与和平]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  1955年12月，美国、英国意欲资助埃及修建阿斯旺水坝，并提出一系列附加条件，但为埃及领导人纳赛尔拒绝。次年6月，苏联提出为埃及修建阿斯旺水坝提供无附加条件的贷款。7月，在美英两国先后宣布撤销对阿斯旺水坝的援助后，纳赛尔也宣布将英、法控制的苏伊士运河公司收归国有。英国和法国对埃及这一决定反应非常强烈，决定以军事手段维护两国的利益。8月10日，苏联发表声明，支持埃及将运河国有化的决定。10月29日，英法联合以色列向埃及发动进攻，苏伊士运河战争爆发。在美国和苏联的压力下，英法两国和以色列在11月6日宣布停火。此后，法国进一步走上寻求欧洲联合的道路，英国也加快了从殖民地撤离的步伐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——摘编自王缉思、牛军主编《缔造霸权：冷战时期的美国战略与决策》等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根据材料并结合所学知识，简析苏伊士运河战争爆发前后美国对英国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72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态度变化及其目的。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根据材料并结合所学知识，说明苏伊士运河战争对当时西方阵营的影响。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[历史——选修4：中外历史人物评说]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  1948年11月，中共中央发出关于在新解放城市中召开各界人民代表会议的指示。1949年8月至12月，毛泽东以中央或个人名义发出多份电报，督促各地尽快召开各界人民代表会议，并报告开会情况；批复和批转不少地区关于召开各界人民代表会议的报告，推广开会经验。毛泽东在指导各地召开各界人民代表会议的实践中，提出一系列带有方针、政策性的重要指导思想：各界人民代表会议是人民代表大会的前身，是人民群众参政议政的初期组织形式；召开各界人民代表会议是一件大事，这个会议是团结各界人民的重要工具；在党的领导下，充分发扬民主，切实开好各界人民代表会议。1949年7月以后，由于党中央和毛泽东发出许多关于召开各界人民代表会议的指示，各地都迅速召开这一会议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——摘编自《党的文献》编辑部《共和国走过的路—建国以来重要文献专题选集》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根据材料并结合所学知识，说明毛泽东高度重视各界人民代表会议的原因。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根据材料并结合所学知识，简析毛泽东督促召开各界人民代表会议的历史意义。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  <w:sectPr w:rsidSect="00C321EB">
          <w:headerReference w:type="default" r:id="rId11"/>
          <w:footerReference w:type="default" r:id="rId12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>
      <w:r>
        <w:rPr>
          <w:color w:val="000000"/>
        </w:rPr>
        <w:drawing>
          <wp:inline>
            <wp:extent cx="6188710" cy="7406488"/>
            <wp:docPr id="100019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1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7643590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1482039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wmf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image" Target="media/image10.jpeg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wmf" /><Relationship Id="rId8" Type="http://schemas.openxmlformats.org/officeDocument/2006/relationships/image" Target="media/image4.wmf" /><Relationship Id="rId9" Type="http://schemas.openxmlformats.org/officeDocument/2006/relationships/image" Target="media/image5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2997489553883136</dc:description>
  <cp:lastModifiedBy>学科网试题生产平台</cp:lastModifiedBy>
  <cp:revision>6</cp:revision>
  <dcterms:created xsi:type="dcterms:W3CDTF">2022-06-10T18:54:19Z</dcterms:created>
  <dcterms:modified xsi:type="dcterms:W3CDTF">2022-06-10T18:54:19Z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