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9B53" w14:textId="77777777" w:rsidR="006A03DE" w:rsidRPr="00BF66E2" w:rsidRDefault="00000000">
      <w:pPr>
        <w:pStyle w:val="Subtitle"/>
        <w:rPr>
          <w:lang w:val="es-CL"/>
        </w:rPr>
      </w:pPr>
      <w:r w:rsidRPr="00BF66E2">
        <w:rPr>
          <w:lang w:val="es-CL"/>
        </w:rPr>
        <w:t>DUOC UC</w:t>
      </w:r>
      <w:r w:rsidRPr="00BF66E2">
        <w:rPr>
          <w:lang w:val="es-CL"/>
        </w:rPr>
        <w:br/>
        <w:t>Ingeniería en Informática</w:t>
      </w:r>
      <w:r w:rsidRPr="00BF66E2">
        <w:rPr>
          <w:lang w:val="es-CL"/>
        </w:rPr>
        <w:br/>
        <w:t xml:space="preserve">Asignatura </w:t>
      </w:r>
      <w:proofErr w:type="spellStart"/>
      <w:r w:rsidRPr="00BF66E2">
        <w:rPr>
          <w:lang w:val="es-CL"/>
        </w:rPr>
        <w:t>Capstone</w:t>
      </w:r>
      <w:proofErr w:type="spellEnd"/>
    </w:p>
    <w:p w14:paraId="3FFF6D3C" w14:textId="77777777" w:rsidR="006A03DE" w:rsidRPr="00BF66E2" w:rsidRDefault="00000000">
      <w:pPr>
        <w:pStyle w:val="Title"/>
        <w:rPr>
          <w:lang w:val="es-CL"/>
        </w:rPr>
      </w:pPr>
      <w:r w:rsidRPr="00BF66E2">
        <w:rPr>
          <w:lang w:val="es-CL"/>
        </w:rPr>
        <w:t xml:space="preserve">Estructura de desglose del trabajo de </w:t>
      </w:r>
      <w:proofErr w:type="spellStart"/>
      <w:r w:rsidRPr="00BF66E2">
        <w:rPr>
          <w:lang w:val="es-CL"/>
        </w:rPr>
        <w:t>BraxRecicla</w:t>
      </w:r>
      <w:proofErr w:type="spellEnd"/>
    </w:p>
    <w:p w14:paraId="5457A228" w14:textId="2D9D908F" w:rsidR="006A03DE" w:rsidRPr="00BF66E2" w:rsidRDefault="00000000" w:rsidP="00BF66E2">
      <w:pPr>
        <w:rPr>
          <w:lang w:val="es-CL"/>
        </w:rPr>
      </w:pPr>
      <w:r w:rsidRPr="00BF66E2">
        <w:rPr>
          <w:lang w:val="es-CL"/>
        </w:rPr>
        <w:t xml:space="preserve">Proyecto </w:t>
      </w:r>
      <w:proofErr w:type="spellStart"/>
      <w:r w:rsidRPr="00BF66E2">
        <w:rPr>
          <w:lang w:val="es-CL"/>
        </w:rPr>
        <w:t>BraxRecicla</w:t>
      </w:r>
      <w:proofErr w:type="spellEnd"/>
      <w:r w:rsidRPr="00BF66E2">
        <w:rPr>
          <w:lang w:val="es-CL"/>
        </w:rPr>
        <w:br/>
        <w:t>Dante Allendes y Alejandro Fuentes</w:t>
      </w:r>
      <w:r w:rsidRPr="00BF66E2">
        <w:rPr>
          <w:lang w:val="es-CL"/>
        </w:rPr>
        <w:br/>
        <w:t>Sede Plaza Norte</w:t>
      </w:r>
      <w:r w:rsidRPr="00BF66E2">
        <w:rPr>
          <w:lang w:val="es-CL"/>
        </w:rPr>
        <w:br/>
      </w:r>
    </w:p>
    <w:p w14:paraId="40F4B225" w14:textId="77777777" w:rsidR="006A03DE" w:rsidRPr="00BF66E2" w:rsidRDefault="00000000">
      <w:pPr>
        <w:rPr>
          <w:lang w:val="es-CL"/>
        </w:rPr>
      </w:pPr>
      <w:r w:rsidRPr="00BF66E2">
        <w:rPr>
          <w:lang w:val="es-CL"/>
        </w:rPr>
        <w:t>Se conservan los identificadores de la EDT previa para facilitar trazabilidad. Cada paquete distingue el entregable propuesto del estado actual. Los responsables de RACI y Gantt son asignaciones propuestas, no autoría histórica comprobada.</w:t>
      </w:r>
    </w:p>
    <w:p w14:paraId="06631893" w14:textId="77777777" w:rsidR="006A03DE" w:rsidRDefault="00000000">
      <w:pPr>
        <w:pStyle w:val="Heading1"/>
      </w:pPr>
      <w:r>
        <w:t>1.0 Proyecto de capstone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2880"/>
        <w:gridCol w:w="5760"/>
      </w:tblGrid>
      <w:tr w:rsidR="006A03DE" w:rsidRPr="00BF66E2" w14:paraId="3542123C" w14:textId="77777777">
        <w:trPr>
          <w:cantSplit/>
          <w:tblHeader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B27ECB" w14:textId="77777777" w:rsidR="006A03DE" w:rsidRDefault="00000000">
            <w:pPr>
              <w:spacing w:after="80" w:line="252" w:lineRule="auto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B6FED9" w14:textId="77777777" w:rsidR="006A03DE" w:rsidRDefault="00000000">
            <w:pPr>
              <w:spacing w:after="80" w:line="252" w:lineRule="auto"/>
            </w:pPr>
            <w:r>
              <w:rPr>
                <w:b/>
                <w:sz w:val="19"/>
              </w:rPr>
              <w:t>Entregable propuesto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5BA126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b/>
                <w:sz w:val="19"/>
                <w:lang w:val="es-CL"/>
              </w:rPr>
              <w:t>Estado al corte y evidencia/límite</w:t>
            </w:r>
          </w:p>
        </w:tc>
      </w:tr>
      <w:tr w:rsidR="006A03DE" w:rsidRPr="00BF66E2" w14:paraId="5F8FBFD6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C26322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1.1.1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61F94D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Acta y alcance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5D2AA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Documento actualizado; aprobación del equipo e interesados pendiente</w:t>
            </w:r>
          </w:p>
        </w:tc>
      </w:tr>
      <w:tr w:rsidR="006A03DE" w:rsidRPr="00BF66E2" w14:paraId="19BCFF3E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BF6D27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1.1.2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CB4709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Cronograma y EDT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710440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Línea base 14/08–18/12/2026 unificada sin mover plazos; cumplimiento semanal no certificado</w:t>
            </w:r>
          </w:p>
        </w:tc>
      </w:tr>
      <w:tr w:rsidR="006A03DE" w:rsidRPr="00BF66E2" w14:paraId="035D4A43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98A7E6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1.1.3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6DC2C6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Riesgos y responsabilidades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D603D1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Matrices actualizadas; valoración cualitativa y asignación por ratificar</w:t>
            </w:r>
          </w:p>
        </w:tc>
      </w:tr>
      <w:tr w:rsidR="006A03DE" w:rsidRPr="00BF66E2" w14:paraId="16A8CD9E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F69DF2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1.1.4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1609D6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Presupuesto y beneficios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83FDB4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Estimaciones exploratorias con supuestos; sin cotizaciones, fondos o ahorros medidos</w:t>
            </w:r>
          </w:p>
        </w:tc>
      </w:tr>
      <w:tr w:rsidR="006A03DE" w:rsidRPr="00BF66E2" w14:paraId="3274E579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E4D71A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1.1.5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1CDCD5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Cierre y lecciones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50AFCC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Pendiente de aceptación académica y cierre técnico documentado</w:t>
            </w:r>
          </w:p>
        </w:tc>
      </w:tr>
      <w:tr w:rsidR="006A03DE" w:rsidRPr="00BF66E2" w14:paraId="6B7D99A2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942DEC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1.2.1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B28C3A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Diseño del portal público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BA7093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Interfaz y navegación verificadas en desarrollo; build web con errores de tipos</w:t>
            </w:r>
          </w:p>
        </w:tc>
      </w:tr>
      <w:tr w:rsidR="006A03DE" w:rsidRPr="00BF66E2" w14:paraId="40F2E16D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7BBAB6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1.2.2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B6B075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Mapa ciudadano de puntos y seguimiento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9C5844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Pendiente sin implementación; el mapa fijo administrativo no satisface este paquete</w:t>
            </w:r>
          </w:p>
        </w:tc>
      </w:tr>
      <w:tr w:rsidR="006A03DE" w:rsidRPr="00BF66E2" w14:paraId="19EB763C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BED955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1.2.3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A45756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Formularios corporativo y ciudadano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B766B1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Implementados; envíos probados con SDK real y servicio REST sintético; persistencia real bloqueada</w:t>
            </w:r>
          </w:p>
        </w:tc>
      </w:tr>
      <w:tr w:rsidR="006A03DE" w:rsidRPr="00BF66E2" w14:paraId="053771D1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239EC8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1.2.4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8F4754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Datos y geolocalización de solicitudes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B05847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Cliente Supabase y SQL disponibles; Google Places incompleto; esquema/políticas remotos desconocidos</w:t>
            </w:r>
          </w:p>
        </w:tc>
      </w:tr>
      <w:tr w:rsidR="006A03DE" w:rsidRPr="00BF66E2" w14:paraId="16249E24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16001F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1.3.1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0F6AA5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Interfaz del ERP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7B1D6D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Build y arranque verificados; cinco rutas accesibles sin login</w:t>
            </w:r>
          </w:p>
        </w:tc>
      </w:tr>
      <w:tr w:rsidR="006A03DE" w:rsidRPr="00BF66E2" w14:paraId="29FCA7B2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D37FC1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1.3.2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D8DD30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Command Center de flota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AA5E9E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Lectura, KPI y polling probados con datos sintéticos; GPS y posición del marcador simulados</w:t>
            </w:r>
          </w:p>
        </w:tc>
      </w:tr>
      <w:tr w:rsidR="006A03DE" w14:paraId="24F30732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BA1867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1.3.3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46FEDB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Báscula y recepción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AC16CA" w14:textId="77777777" w:rsidR="006A03DE" w:rsidRDefault="00000000">
            <w:pPr>
              <w:spacing w:after="80" w:line="252" w:lineRule="auto"/>
            </w:pPr>
            <w:r w:rsidRPr="00BF66E2">
              <w:rPr>
                <w:sz w:val="19"/>
                <w:lang w:val="es-CL"/>
              </w:rPr>
              <w:t xml:space="preserve">Handler probado de forma aislada; lector serial disponible. Videos físicos reportados, no inspeccionados. </w:t>
            </w:r>
            <w:r>
              <w:rPr>
                <w:sz w:val="19"/>
              </w:rPr>
              <w:t>Sin integración integral ni calibración acreditada</w:t>
            </w:r>
          </w:p>
        </w:tc>
      </w:tr>
      <w:tr w:rsidR="006A03DE" w:rsidRPr="00BF66E2" w14:paraId="1A79C2C0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7CB67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lastRenderedPageBreak/>
              <w:t>1.3.4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F2F7C6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Finanzas y rutas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183A19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Pantalla con cifras fijas; cálculo real y CSV incompletos</w:t>
            </w:r>
          </w:p>
        </w:tc>
      </w:tr>
      <w:tr w:rsidR="006A03DE" w:rsidRPr="00BF66E2" w14:paraId="6405A4E9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31085B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1.3.5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1A6547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Certificados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ABFC94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Hash y vista HTML probados con REST sintético; PDF, firma, verificador e inmutabilidad pendientes</w:t>
            </w:r>
          </w:p>
        </w:tc>
      </w:tr>
      <w:tr w:rsidR="006A03DE" w:rsidRPr="00BF66E2" w14:paraId="4B47837A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94751B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1.4.1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5D6D51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Script de cámara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379478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Visor y simulador presentes; bibliotecas importan; captura física no verificada</w:t>
            </w:r>
          </w:p>
        </w:tc>
      </w:tr>
      <w:tr w:rsidR="006A03DE" w:rsidRPr="00BF66E2" w14:paraId="1BCDBC35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8BCEE4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1.4.2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8CC610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Modelo de volumetría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97275C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Pendiente sin entrenamiento ni artefactos; salida actual simulada</w:t>
            </w:r>
          </w:p>
        </w:tc>
      </w:tr>
      <w:tr w:rsidR="006A03DE" w:rsidRPr="00BF66E2" w14:paraId="15CBE88C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B9F12E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1.4.3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6646D3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Integración serial/IoT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B81A0B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Parsers verificados; COM3 y configuración faltan localmente. Lectura física reportada en dos videos, no guardado acreditado</w:t>
            </w:r>
          </w:p>
        </w:tc>
      </w:tr>
      <w:tr w:rsidR="006A03DE" w:rsidRPr="00BF66E2" w14:paraId="79F986A6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A50073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1.4.4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0F2175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Cruce de peso/volumen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834BA3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Pendiente sin algoritmo implementado o prueba de detección de discrepancias</w:t>
            </w:r>
          </w:p>
        </w:tc>
      </w:tr>
      <w:tr w:rsidR="006A03DE" w:rsidRPr="00BF66E2" w14:paraId="4450D0BB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AF97B8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1.5.1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5C7325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Seguridad y permisos de datos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BA0B4F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Inspección y fallos de acceso identificados; no se ejecutó pentesting ni se verificó RLS remota</w:t>
            </w:r>
          </w:p>
        </w:tc>
      </w:tr>
      <w:tr w:rsidR="006A03DE" w:rsidRPr="00BF66E2" w14:paraId="7B68D4D3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647983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1.5.2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967FCB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Protección y supresión de datos B2C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B14320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Implementación incompleta: contrato y almacén de supresión desalineados; no se acredita cifrado ni cumplimiento normativo</w:t>
            </w:r>
          </w:p>
        </w:tc>
      </w:tr>
      <w:tr w:rsidR="006A03DE" w:rsidRPr="00BF66E2" w14:paraId="4CEA8C6A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B99750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1.5.3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EED13A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Autenticación y roles del ERP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D469C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Pendiente sin implementación, incluido MFA</w:t>
            </w:r>
          </w:p>
        </w:tc>
      </w:tr>
      <w:tr w:rsidR="006A03DE" w:rsidRPr="00BF66E2" w14:paraId="39F91B46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198BC2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1.5.4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1375BB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Pruebas y aceptación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8621F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Pruebas locales registradas; carga, UAT, integración remota y suite automatizada pendientes</w:t>
            </w:r>
          </w:p>
        </w:tc>
      </w:tr>
      <w:tr w:rsidR="006A03DE" w:rsidRPr="00BF66E2" w14:paraId="0E43A8B4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98285E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1.5.5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51731D" w14:textId="77777777" w:rsidR="006A03DE" w:rsidRDefault="00000000">
            <w:pPr>
              <w:spacing w:after="80" w:line="252" w:lineRule="auto"/>
            </w:pPr>
            <w:r>
              <w:rPr>
                <w:sz w:val="19"/>
              </w:rPr>
              <w:t>Despliegue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BA1EFD" w14:textId="77777777" w:rsidR="006A03DE" w:rsidRPr="00BF66E2" w:rsidRDefault="00000000">
            <w:pPr>
              <w:spacing w:after="80" w:line="252" w:lineRule="auto"/>
              <w:rPr>
                <w:lang w:val="es-CL"/>
              </w:rPr>
            </w:pPr>
            <w:r w:rsidRPr="00BF66E2">
              <w:rPr>
                <w:sz w:val="19"/>
                <w:lang w:val="es-CL"/>
              </w:rPr>
              <w:t>Ejecución local verificada; despliegue remoto y operación segura no verificados</w:t>
            </w:r>
          </w:p>
        </w:tc>
      </w:tr>
    </w:tbl>
    <w:p w14:paraId="54ABBE3B" w14:textId="77777777" w:rsidR="006A03DE" w:rsidRPr="00BF66E2" w:rsidRDefault="006A03DE">
      <w:pPr>
        <w:rPr>
          <w:lang w:val="es-CL"/>
        </w:rPr>
      </w:pPr>
    </w:p>
    <w:p w14:paraId="5BADCA27" w14:textId="77777777" w:rsidR="006A03DE" w:rsidRPr="00BF66E2" w:rsidRDefault="00000000">
      <w:pPr>
        <w:pStyle w:val="Heading1"/>
        <w:rPr>
          <w:lang w:val="es-CL"/>
        </w:rPr>
      </w:pPr>
      <w:r w:rsidRPr="00BF66E2">
        <w:rPr>
          <w:lang w:val="es-CL"/>
        </w:rPr>
        <w:t>Elementos del alcance original sin paquete suficiente</w:t>
      </w:r>
    </w:p>
    <w:p w14:paraId="35312983" w14:textId="77777777" w:rsidR="006A03DE" w:rsidRPr="00BF66E2" w:rsidRDefault="00000000">
      <w:pPr>
        <w:rPr>
          <w:lang w:val="es-CL"/>
        </w:rPr>
      </w:pPr>
      <w:r w:rsidRPr="00BF66E2">
        <w:rPr>
          <w:lang w:val="es-CL"/>
        </w:rPr>
        <w:t>Autenticación se mantiene en 1.5.3. Inventario, roles de cliente y portales privados requieren definición explícita si siguen en alcance; no se sustituyen por sumatorias de solicitudes. GPS real requiere desarrollo dentro de 1.3.2 y 1.2.2. Radiación aparece en la semana 12 original, pero no tiene implementación y necesita ratificación. Blockchain, firma electrónica y SINADER no están acreditados por el hash de 1.3.5.</w:t>
      </w:r>
    </w:p>
    <w:p w14:paraId="3A125D48" w14:textId="77777777" w:rsidR="006A03DE" w:rsidRDefault="00000000">
      <w:r w:rsidRPr="00BF66E2">
        <w:rPr>
          <w:lang w:val="es-CL"/>
        </w:rPr>
        <w:t xml:space="preserve">No se asigna porcentaje global de avance: falta ponderación acordada de paquetes y criterios de aceptación. </w:t>
      </w:r>
      <w:r>
        <w:t>Las evidencias ejecutadas y reportadas se separan en QA.</w:t>
      </w:r>
    </w:p>
    <w:sectPr w:rsidR="006A03DE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72925" w14:textId="77777777" w:rsidR="00924329" w:rsidRDefault="00924329">
      <w:pPr>
        <w:spacing w:after="0" w:line="240" w:lineRule="auto"/>
      </w:pPr>
      <w:r>
        <w:separator/>
      </w:r>
    </w:p>
  </w:endnote>
  <w:endnote w:type="continuationSeparator" w:id="0">
    <w:p w14:paraId="4CE07FF4" w14:textId="77777777" w:rsidR="00924329" w:rsidRDefault="00924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42F0D" w14:textId="77777777" w:rsidR="006A03DE" w:rsidRDefault="00000000">
    <w:pPr>
      <w:pStyle w:val="Footer"/>
      <w:jc w:val="right"/>
    </w:pPr>
    <w:proofErr w:type="spellStart"/>
    <w:proofErr w:type="gramStart"/>
    <w:r>
      <w:t>BraxRecicla</w:t>
    </w:r>
    <w:proofErr w:type="spellEnd"/>
    <w:r>
      <w:t xml:space="preserve">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BF66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293C9" w14:textId="77777777" w:rsidR="00924329" w:rsidRDefault="00924329">
      <w:pPr>
        <w:spacing w:after="0" w:line="240" w:lineRule="auto"/>
      </w:pPr>
      <w:r>
        <w:separator/>
      </w:r>
    </w:p>
  </w:footnote>
  <w:footnote w:type="continuationSeparator" w:id="0">
    <w:p w14:paraId="58B8C4E4" w14:textId="77777777" w:rsidR="00924329" w:rsidRDefault="009243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942076">
    <w:abstractNumId w:val="8"/>
  </w:num>
  <w:num w:numId="2" w16cid:durableId="1231190594">
    <w:abstractNumId w:val="6"/>
  </w:num>
  <w:num w:numId="3" w16cid:durableId="821770807">
    <w:abstractNumId w:val="5"/>
  </w:num>
  <w:num w:numId="4" w16cid:durableId="835455626">
    <w:abstractNumId w:val="4"/>
  </w:num>
  <w:num w:numId="5" w16cid:durableId="714044006">
    <w:abstractNumId w:val="7"/>
  </w:num>
  <w:num w:numId="6" w16cid:durableId="1272086422">
    <w:abstractNumId w:val="3"/>
  </w:num>
  <w:num w:numId="7" w16cid:durableId="504367867">
    <w:abstractNumId w:val="2"/>
  </w:num>
  <w:num w:numId="8" w16cid:durableId="11148724">
    <w:abstractNumId w:val="1"/>
  </w:num>
  <w:num w:numId="9" w16cid:durableId="565804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05E"/>
    <w:rsid w:val="0015074B"/>
    <w:rsid w:val="0029639D"/>
    <w:rsid w:val="00326F90"/>
    <w:rsid w:val="006A03DE"/>
    <w:rsid w:val="00924329"/>
    <w:rsid w:val="00AA1D8D"/>
    <w:rsid w:val="00B47730"/>
    <w:rsid w:val="00BF66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A66B1C"/>
  <w14:defaultImageDpi w14:val="300"/>
  <w15:docId w15:val="{296F19F6-F2D4-42D1-9615-7369D04A4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592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de desglose del trabajo de BraxRecicla</dc:title>
  <dc:subject/>
  <dc:creator>Dante Allendes y Alejandro Fuentes</dc:creator>
  <cp:keywords/>
  <dc:description>generated by python-docx</dc:description>
  <cp:lastModifiedBy>DANTE IGNACIO Allendes</cp:lastModifiedBy>
  <cp:revision>2</cp:revision>
  <dcterms:created xsi:type="dcterms:W3CDTF">2013-12-23T23:15:00Z</dcterms:created>
  <dcterms:modified xsi:type="dcterms:W3CDTF">2026-10-19T21:06:00Z</dcterms:modified>
  <cp:category/>
</cp:coreProperties>
</file>