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0A0A0A"/>
          <w:sz w:val="52"/>
        </w:rPr>
        <w:t>Carlo Rondón</w:t>
      </w:r>
    </w:p>
    <w:p>
      <w:pPr>
        <w:spacing w:after="120"/>
      </w:pPr>
      <w:r>
        <w:rPr>
          <w:rFonts w:ascii="Calibri" w:hAnsi="Calibri"/>
          <w:b w:val="0"/>
          <w:i/>
          <w:color w:val="555566"/>
          <w:sz w:val="24"/>
        </w:rPr>
        <w:t>Estrategia Fintech &amp; Payments</w:t>
      </w:r>
    </w:p>
    <w:p>
      <w:pPr>
        <w:spacing w:after="40"/>
      </w:pPr>
      <w:r>
        <w:rPr>
          <w:rFonts w:ascii="Calibri" w:hAnsi="Calibri"/>
          <w:b w:val="0"/>
          <w:i w:val="0"/>
          <w:color w:val="555566"/>
          <w:sz w:val="18"/>
        </w:rPr>
        <w:t>Lima, Perú  ·  carlorndn@gmail.com  ·  +51936735897  ·  linkedin.com/in/carlo-rondon</w:t>
      </w:r>
    </w:p>
    <w:p>
      <w:pPr>
        <w:spacing w:before="280" w:after="80"/>
        <w:pBdr>
          <w:bottom w:val="single" w:sz="4" w:space="4" w:color="DDDDDD"/>
        </w:pBdr>
      </w:pPr>
      <w:r>
        <w:rPr>
          <w:rFonts w:ascii="Calibri" w:hAnsi="Calibri"/>
          <w:b/>
          <w:i w:val="0"/>
          <w:color w:val="555566"/>
          <w:sz w:val="16"/>
        </w:rPr>
        <w:t>PERFIL</w:t>
      </w:r>
    </w:p>
    <w:p>
      <w:pPr>
        <w:spacing w:before="0" w:after="60"/>
      </w:pPr>
      <w:r>
        <w:rPr>
          <w:rFonts w:ascii="Calibri" w:hAnsi="Calibri"/>
          <w:b w:val="0"/>
          <w:color w:val="222233"/>
          <w:sz w:val="20"/>
        </w:rPr>
        <w:t>En payments es donde me he hecho un nombre. Escalé una fintech de pagos de menos de 100 comercios a más de 40,000, elevé la conversión de comercios de 2% a 8%, optimicé el pricing y las promociones de un negocio de payments con más de 20,000 clientes activos y hoy comercializo las APIs de conectividad bancaria que mueven el dinero corporativo en tiempo real. Combino esa trayectoria comercial con un diferenciador técnico —arquitectura de datos, modelos de pricing, automatización con IA y el stack detrás (SQL, Python, cloud, APIs, LLMs)— así que no solo ejecuto estrategia de payments: la construyo. Más de seis años entre fintech, banca y consultoría, postgrado en management y certificaciones en ciencia de datos y analítica en la nube. Mi foco ahora es la próxima frontera de los pagos en Latinoamérica: dinero más rápido, pricing más inteligente y productos que escalan.</w:t>
      </w:r>
    </w:p>
    <w:p>
      <w:pPr>
        <w:spacing w:before="280" w:after="80"/>
        <w:pBdr>
          <w:bottom w:val="single" w:sz="4" w:space="4" w:color="DDDDDD"/>
        </w:pBdr>
      </w:pPr>
      <w:r>
        <w:rPr>
          <w:rFonts w:ascii="Calibri" w:hAnsi="Calibri"/>
          <w:b/>
          <w:i w:val="0"/>
          <w:color w:val="555566"/>
          <w:sz w:val="16"/>
        </w:rPr>
        <w:t>EXPERIENCIA PROFESIONAL</w:t>
      </w:r>
    </w:p>
    <w:p>
      <w:pPr>
        <w:spacing w:before="200" w:after="40"/>
      </w:pPr>
      <w:r>
        <w:rPr>
          <w:rFonts w:ascii="Calibri" w:hAnsi="Calibri"/>
          <w:b/>
          <w:i w:val="0"/>
          <w:color w:val="0A0A0A"/>
          <w:sz w:val="24"/>
        </w:rPr>
        <w:t>BBVA Perú</w:t>
      </w:r>
      <w:r>
        <w:rPr>
          <w:rFonts w:ascii="Calibri" w:hAnsi="Calibri"/>
          <w:b w:val="0"/>
          <w:i w:val="0"/>
          <w:color w:val="555566"/>
          <w:sz w:val="18"/>
        </w:rPr>
        <w:t xml:space="preserve">   Mayo 2022 – Actualidad  ·  3 años+</w:t>
      </w:r>
    </w:p>
    <w:p>
      <w:pPr>
        <w:spacing w:before="160" w:after="40"/>
      </w:pPr>
      <w:r>
        <w:rPr>
          <w:rFonts w:ascii="Calibri" w:hAnsi="Calibri"/>
          <w:b/>
          <w:i w:val="0"/>
          <w:color w:val="0A0A0A"/>
          <w:sz w:val="22"/>
        </w:rPr>
        <w:t>Cash Management Executive</w:t>
      </w:r>
      <w:r>
        <w:t xml:space="preserve">  </w:t>
      </w:r>
      <w:r>
        <w:rPr>
          <w:rFonts w:ascii="Calibri" w:hAnsi="Calibri"/>
          <w:b w:val="0"/>
          <w:i/>
          <w:color w:val="555566"/>
          <w:sz w:val="18"/>
        </w:rPr>
        <w:t>Corporate &amp; Large-Enterprise Banking</w:t>
      </w:r>
    </w:p>
    <w:p>
      <w:pPr>
        <w:spacing w:before="0" w:after="80"/>
      </w:pPr>
      <w:r>
        <w:rPr>
          <w:rFonts w:ascii="Calibri" w:hAnsi="Calibri"/>
          <w:b w:val="0"/>
          <w:i w:val="0"/>
          <w:color w:val="555566"/>
          <w:sz w:val="18"/>
        </w:rPr>
        <w:t>Mar 2026 – Actualidad</w:t>
      </w:r>
    </w:p>
    <w:tbl>
      <w:tblPr>
        <w:tblStyle w:val="TableGrid"/>
        <w:tblW w:type="auto" w:w="0"/>
        <w:jc w:val="left"/>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APIs</w:t>
            </w:r>
          </w:p>
          <w:p>
            <w:pPr>
              <w:spacing w:before="20" w:after="0"/>
            </w:pPr>
            <w:r>
              <w:rPr>
                <w:rFonts w:ascii="Calibri" w:hAnsi="Calibri"/>
                <w:b w:val="0"/>
                <w:i w:val="0"/>
                <w:color w:val="555566"/>
                <w:sz w:val="16"/>
              </w:rPr>
              <w:t>Interconexión bancaria</w:t>
            </w:r>
          </w:p>
        </w:tc>
        <w:tc>
          <w:tcPr>
            <w:tcW w:type="dxa" w:w="3135"/>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Real-time</w:t>
            </w:r>
          </w:p>
          <w:p>
            <w:pPr>
              <w:spacing w:before="20" w:after="0"/>
            </w:pPr>
            <w:r>
              <w:rPr>
                <w:rFonts w:ascii="Calibri" w:hAnsi="Calibri"/>
                <w:b w:val="0"/>
                <w:i w:val="0"/>
                <w:color w:val="555566"/>
                <w:sz w:val="16"/>
              </w:rPr>
              <w:t>Pagos, cobros y conciliación</w:t>
            </w:r>
          </w:p>
        </w:tc>
        <w:tc>
          <w:tcPr>
            <w:tcW w:type="dxa" w:w="3135"/>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C-level</w:t>
            </w:r>
          </w:p>
          <w:p>
            <w:pPr>
              <w:spacing w:before="20" w:after="0"/>
            </w:pPr>
            <w:r>
              <w:rPr>
                <w:rFonts w:ascii="Calibri" w:hAnsi="Calibri"/>
                <w:b w:val="0"/>
                <w:i w:val="0"/>
                <w:color w:val="555566"/>
                <w:sz w:val="16"/>
              </w:rPr>
              <w:t>Nivel de interlocución</w:t>
            </w:r>
          </w:p>
        </w:tc>
      </w:tr>
    </w:tbl>
    <w:p/>
    <w:p>
      <w:pPr>
        <w:pStyle w:val="ListBullet"/>
        <w:spacing w:before="20" w:after="20"/>
        <w:ind w:left="283"/>
      </w:pPr>
      <w:r>
        <w:rPr>
          <w:rFonts w:ascii="Calibri" w:hAnsi="Calibri"/>
          <w:b w:val="0"/>
          <w:color w:val="222233"/>
          <w:sz w:val="20"/>
        </w:rPr>
        <w:t xml:space="preserve">Venta e implementación de </w:t>
      </w:r>
      <w:r>
        <w:rPr>
          <w:rFonts w:ascii="Calibri" w:hAnsi="Calibri"/>
          <w:b/>
          <w:color w:val="0A0A0A"/>
          <w:sz w:val="20"/>
        </w:rPr>
        <w:t>APIs de conectividad bancaria</w:t>
      </w:r>
      <w:r>
        <w:rPr>
          <w:rFonts w:ascii="Calibri" w:hAnsi="Calibri"/>
          <w:b w:val="0"/>
          <w:color w:val="222233"/>
          <w:sz w:val="20"/>
        </w:rPr>
        <w:t xml:space="preserve"> (host-to-host, integración ERP-banco y open banking) que interconectan los sistemas de tesorería de clientes corporativos con el core del banco, automatizando pagos, cobros y conciliación en tiempo real.</w:t>
      </w:r>
    </w:p>
    <w:p>
      <w:pPr>
        <w:pStyle w:val="ListBullet"/>
        <w:spacing w:before="20" w:after="20"/>
        <w:ind w:left="283"/>
      </w:pPr>
      <w:r>
        <w:rPr>
          <w:rFonts w:ascii="Calibri" w:hAnsi="Calibri"/>
          <w:b w:val="0"/>
          <w:color w:val="222233"/>
          <w:sz w:val="20"/>
        </w:rPr>
        <w:t xml:space="preserve">Diseño y construcción de </w:t>
      </w:r>
      <w:r>
        <w:rPr>
          <w:rFonts w:ascii="Calibri" w:hAnsi="Calibri"/>
          <w:b/>
          <w:color w:val="0A0A0A"/>
          <w:sz w:val="20"/>
        </w:rPr>
        <w:t>modelos financieros</w:t>
      </w:r>
      <w:r>
        <w:rPr>
          <w:rFonts w:ascii="Calibri" w:hAnsi="Calibri"/>
          <w:b w:val="0"/>
          <w:color w:val="222233"/>
          <w:sz w:val="20"/>
        </w:rPr>
        <w:t xml:space="preserve"> para cartera de clientes corporativos, proyectando escenarios de ROI y colocación de productos cash in/out que impulsan la digitalización e ingresos transaccionales.</w:t>
      </w:r>
    </w:p>
    <w:p>
      <w:pPr>
        <w:pStyle w:val="ListBullet"/>
        <w:spacing w:before="20" w:after="20"/>
        <w:ind w:left="283"/>
      </w:pPr>
      <w:r>
        <w:rPr>
          <w:rFonts w:ascii="Calibri" w:hAnsi="Calibri"/>
          <w:b w:val="0"/>
          <w:color w:val="222233"/>
          <w:sz w:val="20"/>
        </w:rPr>
        <w:t>Gestión ejecutiva de relación con las principales empresas del mercado peruano, liderando la adopción de soluciones digitales y de conectividad ante comités directivos.</w:t>
      </w:r>
    </w:p>
    <w:p>
      <w:pPr>
        <w:spacing w:before="160" w:after="40"/>
      </w:pPr>
      <w:r>
        <w:rPr>
          <w:rFonts w:ascii="Calibri" w:hAnsi="Calibri"/>
          <w:b/>
          <w:i w:val="0"/>
          <w:color w:val="0A0A0A"/>
          <w:sz w:val="22"/>
        </w:rPr>
        <w:t>Payments &amp; Loyalty Associate</w:t>
      </w:r>
      <w:r>
        <w:t xml:space="preserve">  </w:t>
      </w:r>
      <w:r>
        <w:rPr>
          <w:rFonts w:ascii="Calibri" w:hAnsi="Calibri"/>
          <w:b w:val="0"/>
          <w:i/>
          <w:color w:val="555566"/>
          <w:sz w:val="18"/>
        </w:rPr>
        <w:t>Dic 2025 – Mar 2026</w:t>
      </w:r>
    </w:p>
    <w:tbl>
      <w:tblPr>
        <w:tblStyle w:val="TableGrid"/>
        <w:tblW w:type="auto" w:w="0"/>
        <w:jc w:val="left"/>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+20,000</w:t>
            </w:r>
          </w:p>
          <w:p>
            <w:pPr>
              <w:spacing w:before="20" w:after="0"/>
            </w:pPr>
            <w:r>
              <w:rPr>
                <w:rFonts w:ascii="Calibri" w:hAnsi="Calibri"/>
                <w:b w:val="0"/>
                <w:i w:val="0"/>
                <w:color w:val="555566"/>
                <w:sz w:val="16"/>
              </w:rPr>
              <w:t>Clientes activos</w:t>
            </w:r>
          </w:p>
        </w:tc>
        <w:tc>
          <w:tcPr>
            <w:tcW w:type="dxa" w:w="3135"/>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Exponencial</w:t>
            </w:r>
          </w:p>
          <w:p>
            <w:pPr>
              <w:spacing w:before="20" w:after="0"/>
            </w:pPr>
            <w:r>
              <w:rPr>
                <w:rFonts w:ascii="Calibri" w:hAnsi="Calibri"/>
                <w:b w:val="0"/>
                <w:i w:val="0"/>
                <w:color w:val="555566"/>
                <w:sz w:val="16"/>
              </w:rPr>
              <w:t>Crecimiento en cash in</w:t>
            </w:r>
          </w:p>
        </w:tc>
        <w:tc>
          <w:tcPr>
            <w:tcW w:type="dxa" w:w="3135"/>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Elasticidad</w:t>
            </w:r>
          </w:p>
          <w:p>
            <w:pPr>
              <w:spacing w:before="20" w:after="0"/>
            </w:pPr>
            <w:r>
              <w:rPr>
                <w:rFonts w:ascii="Calibri" w:hAnsi="Calibri"/>
                <w:b w:val="0"/>
                <w:i w:val="0"/>
                <w:color w:val="555566"/>
                <w:sz w:val="16"/>
              </w:rPr>
              <w:t>Análisis de pricing</w:t>
            </w:r>
          </w:p>
        </w:tc>
      </w:tr>
    </w:tbl>
    <w:p/>
    <w:p>
      <w:pPr>
        <w:pStyle w:val="ListBullet"/>
        <w:spacing w:before="20" w:after="20"/>
        <w:ind w:left="283"/>
      </w:pPr>
      <w:r>
        <w:rPr>
          <w:rFonts w:ascii="Calibri" w:hAnsi="Calibri"/>
          <w:b w:val="0"/>
          <w:color w:val="222233"/>
          <w:sz w:val="20"/>
        </w:rPr>
        <w:t xml:space="preserve">Optimización del </w:t>
      </w:r>
      <w:r>
        <w:rPr>
          <w:rFonts w:ascii="Calibri" w:hAnsi="Calibri"/>
          <w:b/>
          <w:color w:val="0A0A0A"/>
          <w:sz w:val="20"/>
        </w:rPr>
        <w:t>modelo de precios y promociones</w:t>
      </w:r>
      <w:r>
        <w:rPr>
          <w:rFonts w:ascii="Calibri" w:hAnsi="Calibri"/>
          <w:b w:val="0"/>
          <w:color w:val="222233"/>
          <w:sz w:val="20"/>
        </w:rPr>
        <w:t xml:space="preserve"> del negocio de payments mediante análisis de elasticidad de demanda y segmentación avanzada de clientes, maximizando conversión y activación.</w:t>
      </w:r>
    </w:p>
    <w:p>
      <w:pPr>
        <w:spacing w:before="160" w:after="40"/>
      </w:pPr>
      <w:r>
        <w:rPr>
          <w:rFonts w:ascii="Calibri" w:hAnsi="Calibri"/>
          <w:b/>
          <w:i w:val="0"/>
          <w:color w:val="0A0A0A"/>
          <w:sz w:val="22"/>
        </w:rPr>
        <w:t>Senior Data &amp; Commercial Analyst</w:t>
      </w:r>
      <w:r>
        <w:t xml:space="preserve">  </w:t>
      </w:r>
      <w:r>
        <w:rPr>
          <w:rFonts w:ascii="Calibri" w:hAnsi="Calibri"/>
          <w:b w:val="0"/>
          <w:i/>
          <w:color w:val="555566"/>
          <w:sz w:val="18"/>
        </w:rPr>
        <w:t>Openpay</w:t>
      </w:r>
    </w:p>
    <w:p>
      <w:pPr>
        <w:spacing w:before="0" w:after="80"/>
      </w:pPr>
      <w:r>
        <w:rPr>
          <w:rFonts w:ascii="Calibri" w:hAnsi="Calibri"/>
          <w:b w:val="0"/>
          <w:i w:val="0"/>
          <w:color w:val="555566"/>
          <w:sz w:val="18"/>
        </w:rPr>
        <w:t>Mar 2025 – Dic 2025</w:t>
      </w:r>
    </w:p>
    <w:tbl>
      <w:tblPr>
        <w:tblStyle w:val="TableGrid"/>
        <w:tblW w:type="auto" w:w="0"/>
        <w:jc w:val="left"/>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12 meses</w:t>
            </w:r>
          </w:p>
          <w:p>
            <w:pPr>
              <w:spacing w:before="20" w:after="0"/>
            </w:pPr>
            <w:r>
              <w:rPr>
                <w:rFonts w:ascii="Calibri" w:hAnsi="Calibri"/>
                <w:b w:val="0"/>
                <w:i w:val="0"/>
                <w:color w:val="555566"/>
                <w:sz w:val="16"/>
              </w:rPr>
              <w:t>Extensión a 3 áreas</w:t>
            </w:r>
          </w:p>
        </w:tc>
        <w:tc>
          <w:tcPr>
            <w:tcW w:type="dxa" w:w="3135"/>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En producción</w:t>
            </w:r>
          </w:p>
          <w:p>
            <w:pPr>
              <w:spacing w:before="20" w:after="0"/>
            </w:pPr>
            <w:r>
              <w:rPr>
                <w:rFonts w:ascii="Calibri" w:hAnsi="Calibri"/>
                <w:b w:val="0"/>
                <w:i w:val="0"/>
                <w:color w:val="555566"/>
                <w:sz w:val="16"/>
              </w:rPr>
              <w:t>Modelo aún vigente hoy</w:t>
            </w:r>
          </w:p>
        </w:tc>
        <w:tc>
          <w:tcPr>
            <w:tcW w:type="dxa" w:w="3135"/>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Matriz internacional</w:t>
            </w:r>
          </w:p>
          <w:p>
            <w:pPr>
              <w:spacing w:before="20" w:after="0"/>
            </w:pPr>
            <w:r>
              <w:rPr>
                <w:rFonts w:ascii="Calibri" w:hAnsi="Calibri"/>
                <w:b w:val="0"/>
                <w:i w:val="0"/>
                <w:color w:val="555566"/>
                <w:sz w:val="16"/>
              </w:rPr>
              <w:t>Adopción del modelo</w:t>
            </w:r>
          </w:p>
        </w:tc>
      </w:tr>
    </w:tbl>
    <w:p/>
    <w:p>
      <w:pPr>
        <w:pStyle w:val="ListBullet"/>
        <w:spacing w:before="20" w:after="20"/>
        <w:ind w:left="283"/>
      </w:pPr>
      <w:r>
        <w:rPr>
          <w:rFonts w:ascii="Calibri" w:hAnsi="Calibri"/>
          <w:b w:val="0"/>
          <w:color w:val="222233"/>
          <w:sz w:val="20"/>
        </w:rPr>
        <w:t xml:space="preserve">Extensión del framework durante 12 meses a </w:t>
      </w:r>
      <w:r>
        <w:rPr>
          <w:rFonts w:ascii="Calibri" w:hAnsi="Calibri"/>
          <w:b/>
          <w:color w:val="0A0A0A"/>
          <w:sz w:val="20"/>
        </w:rPr>
        <w:t>Operaciones</w:t>
      </w:r>
      <w:r>
        <w:rPr>
          <w:rFonts w:ascii="Calibri" w:hAnsi="Calibri"/>
          <w:b w:val="0"/>
          <w:color w:val="222233"/>
          <w:sz w:val="20"/>
        </w:rPr>
        <w:t xml:space="preserve"> (priorización post-venta por valor transaccional y proyección de crecimiento), </w:t>
      </w:r>
      <w:r>
        <w:rPr>
          <w:rFonts w:ascii="Calibri" w:hAnsi="Calibri"/>
          <w:b/>
          <w:color w:val="0A0A0A"/>
          <w:sz w:val="20"/>
        </w:rPr>
        <w:t>Marketing</w:t>
      </w:r>
      <w:r>
        <w:rPr>
          <w:rFonts w:ascii="Calibri" w:hAnsi="Calibri"/>
          <w:b w:val="0"/>
          <w:color w:val="222233"/>
          <w:sz w:val="20"/>
        </w:rPr>
        <w:t xml:space="preserve"> (foco de segmento en e-commerce) y </w:t>
      </w:r>
      <w:r>
        <w:rPr>
          <w:rFonts w:ascii="Calibri" w:hAnsi="Calibri"/>
          <w:b/>
          <w:color w:val="0A0A0A"/>
          <w:sz w:val="20"/>
        </w:rPr>
        <w:t>Fraude</w:t>
      </w:r>
      <w:r>
        <w:rPr>
          <w:rFonts w:ascii="Calibri" w:hAnsi="Calibri"/>
          <w:b w:val="0"/>
          <w:color w:val="222233"/>
          <w:sz w:val="20"/>
        </w:rPr>
        <w:t xml:space="preserve"> (señales comerciales que el motor de detección aún no había mapeado), con el country manager de Perú como sponsor ejecutivo.</w:t>
      </w:r>
    </w:p>
    <w:p>
      <w:pPr>
        <w:pStyle w:val="ListBullet"/>
        <w:spacing w:before="20" w:after="20"/>
        <w:ind w:left="283"/>
      </w:pPr>
      <w:r>
        <w:rPr>
          <w:rFonts w:ascii="Calibri" w:hAnsi="Calibri"/>
          <w:b w:val="0"/>
          <w:color w:val="222233"/>
          <w:sz w:val="20"/>
        </w:rPr>
        <w:t xml:space="preserve">El modelo </w:t>
      </w:r>
      <w:r>
        <w:rPr>
          <w:rFonts w:ascii="Calibri" w:hAnsi="Calibri"/>
          <w:b/>
          <w:color w:val="0A0A0A"/>
          <w:sz w:val="20"/>
        </w:rPr>
        <w:t>sigue en producción hoy</w:t>
      </w:r>
      <w:r>
        <w:rPr>
          <w:rFonts w:ascii="Calibri" w:hAnsi="Calibri"/>
          <w:b w:val="0"/>
          <w:color w:val="222233"/>
          <w:sz w:val="20"/>
        </w:rPr>
        <w:t xml:space="preserve"> y fue adoptado por la matriz internacional en México, cuyo equipo de fraude solicitó el dataset comercial.</w:t>
      </w:r>
    </w:p>
    <w:p>
      <w:pPr>
        <w:spacing w:before="160" w:after="40"/>
      </w:pPr>
      <w:r>
        <w:rPr>
          <w:rFonts w:ascii="Calibri" w:hAnsi="Calibri"/>
          <w:b/>
          <w:i w:val="0"/>
          <w:color w:val="0A0A0A"/>
          <w:sz w:val="22"/>
        </w:rPr>
        <w:t>Data &amp; Commercial Analyst</w:t>
      </w:r>
      <w:r>
        <w:t xml:space="preserve">  </w:t>
      </w:r>
      <w:r>
        <w:rPr>
          <w:rFonts w:ascii="Calibri" w:hAnsi="Calibri"/>
          <w:b w:val="0"/>
          <w:i/>
          <w:color w:val="555566"/>
          <w:sz w:val="18"/>
        </w:rPr>
        <w:t>Openpay</w:t>
      </w:r>
    </w:p>
    <w:p>
      <w:pPr>
        <w:spacing w:before="0" w:after="80"/>
      </w:pPr>
      <w:r>
        <w:rPr>
          <w:rFonts w:ascii="Calibri" w:hAnsi="Calibri"/>
          <w:b w:val="0"/>
          <w:i w:val="0"/>
          <w:color w:val="555566"/>
          <w:sz w:val="18"/>
        </w:rPr>
        <w:t>Mayo 2022 – Mar 2025</w:t>
      </w:r>
    </w:p>
    <w:tbl>
      <w:tblPr>
        <w:tblStyle w:val="TableGrid"/>
        <w:tblW w:type="auto" w:w="0"/>
        <w:jc w:val="left"/>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&lt;100 → 40K+</w:t>
            </w:r>
          </w:p>
          <w:p>
            <w:pPr>
              <w:spacing w:before="20" w:after="0"/>
            </w:pPr>
            <w:r>
              <w:rPr>
                <w:rFonts w:ascii="Calibri" w:hAnsi="Calibri"/>
                <w:b w:val="0"/>
                <w:i w:val="0"/>
                <w:color w:val="555566"/>
                <w:sz w:val="16"/>
              </w:rPr>
              <w:t>Comercios al escalar</w:t>
            </w:r>
          </w:p>
        </w:tc>
        <w:tc>
          <w:tcPr>
            <w:tcW w:type="dxa" w:w="3135"/>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2% → 8%</w:t>
            </w:r>
          </w:p>
          <w:p>
            <w:pPr>
              <w:spacing w:before="20" w:after="0"/>
            </w:pPr>
            <w:r>
              <w:rPr>
                <w:rFonts w:ascii="Calibri" w:hAnsi="Calibri"/>
                <w:b w:val="0"/>
                <w:i w:val="0"/>
                <w:color w:val="555566"/>
                <w:sz w:val="16"/>
              </w:rPr>
              <w:t>Conversión de leads</w:t>
            </w:r>
          </w:p>
        </w:tc>
        <w:tc>
          <w:tcPr>
            <w:tcW w:type="dxa" w:w="3135"/>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19% → 42%</w:t>
            </w:r>
          </w:p>
          <w:p>
            <w:pPr>
              <w:spacing w:before="20" w:after="0"/>
            </w:pPr>
            <w:r>
              <w:rPr>
                <w:rFonts w:ascii="Calibri" w:hAnsi="Calibri"/>
                <w:b w:val="0"/>
                <w:i w:val="0"/>
                <w:color w:val="555566"/>
                <w:sz w:val="16"/>
              </w:rPr>
              <w:t>Rechazo de leads basura</w:t>
            </w:r>
          </w:p>
        </w:tc>
      </w:tr>
    </w:tbl>
    <w:p/>
    <w:p>
      <w:pPr>
        <w:pStyle w:val="ListBullet"/>
        <w:spacing w:before="20" w:after="20"/>
        <w:ind w:left="283"/>
      </w:pPr>
      <w:r>
        <w:rPr>
          <w:rFonts w:ascii="Calibri" w:hAnsi="Calibri"/>
          <w:b w:val="0"/>
          <w:color w:val="222233"/>
          <w:sz w:val="20"/>
        </w:rPr>
        <w:t xml:space="preserve">Ingreso a una </w:t>
      </w:r>
      <w:r>
        <w:rPr>
          <w:rFonts w:ascii="Calibri" w:hAnsi="Calibri"/>
          <w:b/>
          <w:color w:val="0A0A0A"/>
          <w:sz w:val="20"/>
        </w:rPr>
        <w:t>fintech de pagos de BBVA</w:t>
      </w:r>
      <w:r>
        <w:rPr>
          <w:rFonts w:ascii="Calibri" w:hAnsi="Calibri"/>
          <w:b w:val="0"/>
          <w:color w:val="222233"/>
          <w:sz w:val="20"/>
        </w:rPr>
        <w:t xml:space="preserve"> con menos de 100 comercios y sin procesos de datos definidos: las decisiones corrían sobre un Excel semanal y un deck mensual de resultados. Construí </w:t>
      </w:r>
      <w:r>
        <w:rPr>
          <w:rFonts w:ascii="Calibri" w:hAnsi="Calibri"/>
          <w:b/>
          <w:color w:val="0A0A0A"/>
          <w:sz w:val="20"/>
        </w:rPr>
        <w:t>modelos predictivos y reportería de corte diario</w:t>
      </w:r>
      <w:r>
        <w:rPr>
          <w:rFonts w:ascii="Calibri" w:hAnsi="Calibri"/>
          <w:b w:val="0"/>
          <w:color w:val="222233"/>
          <w:sz w:val="20"/>
        </w:rPr>
        <w:t xml:space="preserve"> que se volvieron la capa de decisión de cuatro equipos mientras el negocio escalaba más allá de 40,000 comercios.</w:t>
      </w:r>
    </w:p>
    <w:p>
      <w:pPr>
        <w:pStyle w:val="ListBullet"/>
        <w:spacing w:before="20" w:after="20"/>
        <w:ind w:left="283"/>
      </w:pPr>
      <w:r>
        <w:rPr>
          <w:rFonts w:ascii="Calibri" w:hAnsi="Calibri"/>
          <w:b w:val="0"/>
          <w:color w:val="222233"/>
          <w:sz w:val="20"/>
        </w:rPr>
        <w:t xml:space="preserve">Elevé la </w:t>
      </w:r>
      <w:r>
        <w:rPr>
          <w:rFonts w:ascii="Calibri" w:hAnsi="Calibri"/>
          <w:b/>
          <w:color w:val="0A0A0A"/>
          <w:sz w:val="20"/>
        </w:rPr>
        <w:t>conversión de leads comerciales de 2% a 8%</w:t>
      </w:r>
      <w:r>
        <w:rPr>
          <w:rFonts w:ascii="Calibri" w:hAnsi="Calibri"/>
          <w:b w:val="0"/>
          <w:color w:val="222233"/>
          <w:sz w:val="20"/>
        </w:rPr>
        <w:t xml:space="preserve"> en menos de tres meses calificando la calidad de cada lead, subiendo el rechazo de leads basura de 19% a 42% y reenfocando el esfuerzo de ventas en las cuentas ganables.</w:t>
      </w:r>
    </w:p>
    <w:p>
      <w:pPr>
        <w:spacing w:before="120" w:after="40"/>
      </w:pPr>
      <w:r>
        <w:rPr>
          <w:rFonts w:ascii="Calibri" w:hAnsi="Calibri"/>
          <w:b/>
          <w:i w:val="0"/>
          <w:color w:val="555566"/>
          <w:sz w:val="18"/>
        </w:rPr>
        <w:t xml:space="preserve">Skills: </w:t>
      </w:r>
      <w:r>
        <w:rPr>
          <w:rFonts w:ascii="Calibri" w:hAnsi="Calibri"/>
          <w:b w:val="0"/>
          <w:i w:val="0"/>
          <w:color w:val="555566"/>
          <w:sz w:val="18"/>
        </w:rPr>
        <w:t>SQL  ·  Python  ·  Power BI  ·  AWS  ·  ETL  ·  Modelado financiero  ·  Pricing  ·  Salesforce</w:t>
      </w:r>
    </w:p>
    <w:p>
      <w:pPr>
        <w:spacing w:before="200" w:after="40"/>
      </w:pPr>
      <w:r>
        <w:rPr>
          <w:rFonts w:ascii="Calibri" w:hAnsi="Calibri"/>
          <w:b/>
          <w:i w:val="0"/>
          <w:color w:val="0A0A0A"/>
          <w:sz w:val="24"/>
        </w:rPr>
        <w:t>PwC Perú</w:t>
      </w:r>
      <w:r>
        <w:rPr>
          <w:rFonts w:ascii="Calibri" w:hAnsi="Calibri"/>
          <w:b w:val="0"/>
          <w:i w:val="0"/>
          <w:color w:val="555566"/>
          <w:sz w:val="18"/>
        </w:rPr>
        <w:t xml:space="preserve">   Septiembre 2019 – Mayo 2022  ·  2a 8m</w:t>
      </w:r>
    </w:p>
    <w:p>
      <w:pPr>
        <w:spacing w:before="160" w:after="40"/>
      </w:pPr>
      <w:r>
        <w:rPr>
          <w:rFonts w:ascii="Calibri" w:hAnsi="Calibri"/>
          <w:b/>
          <w:i w:val="0"/>
          <w:color w:val="0A0A0A"/>
          <w:sz w:val="22"/>
        </w:rPr>
        <w:t>Business Intelligence Associate</w:t>
      </w:r>
      <w:r>
        <w:t xml:space="preserve">  </w:t>
      </w:r>
      <w:r>
        <w:rPr>
          <w:rFonts w:ascii="Calibri" w:hAnsi="Calibri"/>
          <w:b w:val="0"/>
          <w:i/>
          <w:color w:val="555566"/>
          <w:sz w:val="18"/>
        </w:rPr>
        <w:t>Ago 2020 – Mayo 2022</w:t>
      </w:r>
    </w:p>
    <w:tbl>
      <w:tblPr>
        <w:tblStyle w:val="TableGrid"/>
        <w:tblW w:type="auto" w:w="0"/>
        <w:jc w:val="left"/>
        <w:tblLook w:firstColumn="1" w:firstRow="1" w:lastColumn="0" w:lastRow="0" w:noHBand="0" w:noVBand="1" w:val="04A0"/>
      </w:tblPr>
      <w:tblGrid>
        <w:gridCol w:w="4703"/>
        <w:gridCol w:w="4703"/>
      </w:tblGrid>
      <w:tr>
        <w:tc>
          <w:tcPr>
            <w:tcW w:type="dxa" w:w="4703"/>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Top 10%</w:t>
            </w:r>
          </w:p>
          <w:p>
            <w:pPr>
              <w:spacing w:before="20" w:after="0"/>
            </w:pPr>
            <w:r>
              <w:rPr>
                <w:rFonts w:ascii="Calibri" w:hAnsi="Calibri"/>
                <w:b w:val="0"/>
                <w:i w:val="0"/>
                <w:color w:val="555566"/>
                <w:sz w:val="16"/>
              </w:rPr>
              <w:t>Desempeño firma (2019–2020)</w:t>
            </w:r>
          </w:p>
        </w:tc>
        <w:tc>
          <w:tcPr>
            <w:tcW w:type="dxa" w:w="4703"/>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+10</w:t>
            </w:r>
          </w:p>
          <w:p>
            <w:pPr>
              <w:spacing w:before="20" w:after="0"/>
            </w:pPr>
            <w:r>
              <w:rPr>
                <w:rFonts w:ascii="Calibri" w:hAnsi="Calibri"/>
                <w:b w:val="0"/>
                <w:i w:val="0"/>
                <w:color w:val="555566"/>
                <w:sz w:val="16"/>
              </w:rPr>
              <w:t>Iniciativas de datos lideradas</w:t>
            </w:r>
          </w:p>
        </w:tc>
      </w:tr>
    </w:tbl>
    <w:p/>
    <w:p>
      <w:pPr>
        <w:pStyle w:val="ListBullet"/>
        <w:spacing w:before="20" w:after="20"/>
        <w:ind w:left="283"/>
      </w:pPr>
      <w:r>
        <w:rPr>
          <w:rFonts w:ascii="Calibri" w:hAnsi="Calibri"/>
          <w:b w:val="0"/>
          <w:color w:val="222233"/>
          <w:sz w:val="20"/>
        </w:rPr>
        <w:t xml:space="preserve">Liderazgo de </w:t>
      </w:r>
      <w:r>
        <w:rPr>
          <w:rFonts w:ascii="Calibri" w:hAnsi="Calibri"/>
          <w:b/>
          <w:color w:val="0A0A0A"/>
          <w:sz w:val="20"/>
        </w:rPr>
        <w:t>más de 10 iniciativas comerciales y de datos</w:t>
      </w:r>
      <w:r>
        <w:rPr>
          <w:rFonts w:ascii="Calibri" w:hAnsi="Calibri"/>
          <w:b w:val="0"/>
          <w:color w:val="222233"/>
          <w:sz w:val="20"/>
        </w:rPr>
        <w:t>, incrementando significativamente la detección de oportunidades para las líneas de servicio de la firma.</w:t>
      </w:r>
    </w:p>
    <w:p>
      <w:pPr>
        <w:pStyle w:val="ListBullet"/>
        <w:spacing w:before="20" w:after="20"/>
        <w:ind w:left="283"/>
      </w:pPr>
      <w:r>
        <w:rPr>
          <w:rFonts w:ascii="Calibri" w:hAnsi="Calibri"/>
          <w:b w:val="0"/>
          <w:color w:val="222233"/>
          <w:sz w:val="20"/>
        </w:rPr>
        <w:t xml:space="preserve">Soporte analítico y comercial a Auditoría, </w:t>
      </w:r>
      <w:r>
        <w:rPr>
          <w:rFonts w:ascii="Calibri" w:hAnsi="Calibri"/>
          <w:b/>
          <w:color w:val="0A0A0A"/>
          <w:sz w:val="20"/>
        </w:rPr>
        <w:t>principal línea de ingresos de PwC Perú</w:t>
      </w:r>
      <w:r>
        <w:rPr>
          <w:rFonts w:ascii="Calibri" w:hAnsi="Calibri"/>
          <w:b w:val="0"/>
          <w:color w:val="222233"/>
          <w:sz w:val="20"/>
        </w:rPr>
        <w:t>, en el diseño e implementación de estrategias de crecimiento.</w:t>
      </w:r>
    </w:p>
    <w:p>
      <w:pPr>
        <w:pStyle w:val="ListBullet"/>
        <w:spacing w:before="20" w:after="20"/>
        <w:ind w:left="283"/>
      </w:pPr>
      <w:r>
        <w:rPr>
          <w:rFonts w:ascii="Calibri" w:hAnsi="Calibri"/>
          <w:b w:val="0"/>
          <w:color w:val="222233"/>
          <w:sz w:val="20"/>
        </w:rPr>
        <w:t xml:space="preserve">Reconocido con </w:t>
      </w:r>
      <w:r>
        <w:rPr>
          <w:rFonts w:ascii="Calibri" w:hAnsi="Calibri"/>
          <w:b/>
          <w:color w:val="0A0A0A"/>
          <w:sz w:val="20"/>
        </w:rPr>
        <w:t>desempeño superior al percentil 90</w:t>
      </w:r>
      <w:r>
        <w:rPr>
          <w:rFonts w:ascii="Calibri" w:hAnsi="Calibri"/>
          <w:b w:val="0"/>
          <w:color w:val="222233"/>
          <w:sz w:val="20"/>
        </w:rPr>
        <w:t xml:space="preserve"> de la firma durante dos años consecutivos (2019 y 2020).</w:t>
      </w:r>
    </w:p>
    <w:p>
      <w:pPr>
        <w:spacing w:before="160" w:after="40"/>
      </w:pPr>
      <w:r>
        <w:rPr>
          <w:rFonts w:ascii="Calibri" w:hAnsi="Calibri"/>
          <w:b/>
          <w:i w:val="0"/>
          <w:color w:val="0A0A0A"/>
          <w:sz w:val="22"/>
        </w:rPr>
        <w:t>Business Expansion Intern</w:t>
      </w:r>
      <w:r>
        <w:t xml:space="preserve">  </w:t>
      </w:r>
      <w:r>
        <w:rPr>
          <w:rFonts w:ascii="Calibri" w:hAnsi="Calibri"/>
          <w:b w:val="0"/>
          <w:i/>
          <w:color w:val="555566"/>
          <w:sz w:val="18"/>
        </w:rPr>
        <w:t>Sep 2019 – Ago 2020</w:t>
      </w:r>
    </w:p>
    <w:tbl>
      <w:tblPr>
        <w:tblStyle w:val="TableGrid"/>
        <w:tblW w:type="auto" w:w="0"/>
        <w:jc w:val="left"/>
        <w:tblLook w:firstColumn="1" w:firstRow="1" w:lastColumn="0" w:lastRow="0" w:noHBand="0" w:noVBand="1" w:val="04A0"/>
      </w:tblPr>
      <w:tblGrid>
        <w:gridCol w:w="4703"/>
        <w:gridCol w:w="4703"/>
      </w:tblGrid>
      <w:tr>
        <w:tc>
          <w:tcPr>
            <w:tcW w:type="dxa" w:w="4703"/>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+700</w:t>
            </w:r>
          </w:p>
          <w:p>
            <w:pPr>
              <w:spacing w:before="20" w:after="0"/>
            </w:pPr>
            <w:r>
              <w:rPr>
                <w:rFonts w:ascii="Calibri" w:hAnsi="Calibri"/>
                <w:b w:val="0"/>
                <w:i w:val="0"/>
                <w:color w:val="555566"/>
                <w:sz w:val="16"/>
              </w:rPr>
              <w:t>Colaboradores capacitados</w:t>
            </w:r>
          </w:p>
        </w:tc>
        <w:tc>
          <w:tcPr>
            <w:tcW w:type="dxa" w:w="4703"/>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Nacional</w:t>
            </w:r>
          </w:p>
          <w:p>
            <w:pPr>
              <w:spacing w:before="20" w:after="0"/>
            </w:pPr>
            <w:r>
              <w:rPr>
                <w:rFonts w:ascii="Calibri" w:hAnsi="Calibri"/>
                <w:b w:val="0"/>
                <w:i w:val="0"/>
                <w:color w:val="555566"/>
                <w:sz w:val="16"/>
              </w:rPr>
              <w:t>Alcance del proyecto Salesforce</w:t>
            </w:r>
          </w:p>
        </w:tc>
      </w:tr>
    </w:tbl>
    <w:p/>
    <w:p>
      <w:pPr>
        <w:pStyle w:val="ListBullet"/>
        <w:spacing w:before="20" w:after="20"/>
        <w:ind w:left="283"/>
      </w:pPr>
      <w:r>
        <w:rPr>
          <w:rFonts w:ascii="Calibri" w:hAnsi="Calibri"/>
          <w:b w:val="0"/>
          <w:color w:val="222233"/>
          <w:sz w:val="20"/>
        </w:rPr>
        <w:t xml:space="preserve">Liderazgo de la </w:t>
      </w:r>
      <w:r>
        <w:rPr>
          <w:rFonts w:ascii="Calibri" w:hAnsi="Calibri"/>
          <w:b/>
          <w:color w:val="0A0A0A"/>
          <w:sz w:val="20"/>
        </w:rPr>
        <w:t>migración a Salesforce</w:t>
      </w:r>
      <w:r>
        <w:rPr>
          <w:rFonts w:ascii="Calibri" w:hAnsi="Calibri"/>
          <w:b w:val="0"/>
          <w:color w:val="222233"/>
          <w:sz w:val="20"/>
        </w:rPr>
        <w:t xml:space="preserve"> a nivel Perú, diseñando el plan de capacitación y formando a más de 700 colaboradores de la firma en el nuevo sistema CRM.</w:t>
      </w:r>
    </w:p>
    <w:p>
      <w:pPr>
        <w:spacing w:before="120" w:after="40"/>
      </w:pPr>
      <w:r>
        <w:rPr>
          <w:rFonts w:ascii="Calibri" w:hAnsi="Calibri"/>
          <w:b/>
          <w:i w:val="0"/>
          <w:color w:val="555566"/>
          <w:sz w:val="18"/>
        </w:rPr>
        <w:t xml:space="preserve">Skills: </w:t>
      </w:r>
      <w:r>
        <w:rPr>
          <w:rFonts w:ascii="Calibri" w:hAnsi="Calibri"/>
          <w:b w:val="0"/>
          <w:i w:val="0"/>
          <w:color w:val="555566"/>
          <w:sz w:val="18"/>
        </w:rPr>
        <w:t>Business Intelligence  ·  Análisis comercial  ·  Salesforce  ·  Consultoría</w:t>
      </w:r>
    </w:p>
    <w:p>
      <w:pPr>
        <w:spacing w:before="200" w:after="40"/>
      </w:pPr>
      <w:r>
        <w:rPr>
          <w:rFonts w:ascii="Calibri" w:hAnsi="Calibri"/>
          <w:b/>
          <w:i w:val="0"/>
          <w:color w:val="0A0A0A"/>
          <w:sz w:val="24"/>
        </w:rPr>
        <w:t>Scotiabank Perú</w:t>
      </w:r>
      <w:r>
        <w:rPr>
          <w:rFonts w:ascii="Calibri" w:hAnsi="Calibri"/>
          <w:b w:val="0"/>
          <w:i w:val="0"/>
          <w:color w:val="555566"/>
          <w:sz w:val="18"/>
        </w:rPr>
        <w:t xml:space="preserve">   Febrero – Octubre 2019  ·  9 meses</w:t>
      </w:r>
    </w:p>
    <w:p>
      <w:pPr>
        <w:spacing w:before="160" w:after="40"/>
      </w:pPr>
      <w:r>
        <w:rPr>
          <w:rFonts w:ascii="Calibri" w:hAnsi="Calibri"/>
          <w:b/>
          <w:i w:val="0"/>
          <w:color w:val="0A0A0A"/>
          <w:sz w:val="22"/>
        </w:rPr>
        <w:t>Customer Experience Intern</w:t>
      </w:r>
      <w:r>
        <w:t xml:space="preserve">  </w:t>
      </w:r>
      <w:r>
        <w:rPr>
          <w:rFonts w:ascii="Calibri" w:hAnsi="Calibri"/>
          <w:b w:val="0"/>
          <w:i/>
          <w:color w:val="555566"/>
          <w:sz w:val="18"/>
        </w:rPr>
        <w:t>Feb – Oct 2019</w:t>
      </w:r>
    </w:p>
    <w:tbl>
      <w:tblPr>
        <w:tblStyle w:val="TableGrid"/>
        <w:tblW w:type="auto" w:w="0"/>
        <w:jc w:val="left"/>
        <w:tblLook w:firstColumn="1" w:firstRow="1" w:lastColumn="0" w:lastRow="0" w:noHBand="0" w:noVBand="1" w:val="04A0"/>
      </w:tblPr>
      <w:tblGrid>
        <w:gridCol w:w="4703"/>
        <w:gridCol w:w="4703"/>
      </w:tblGrid>
      <w:tr>
        <w:tc>
          <w:tcPr>
            <w:tcW w:type="dxa" w:w="4703"/>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5</w:t>
            </w:r>
          </w:p>
          <w:p>
            <w:pPr>
              <w:spacing w:before="20" w:after="0"/>
            </w:pPr>
            <w:r>
              <w:rPr>
                <w:rFonts w:ascii="Calibri" w:hAnsi="Calibri"/>
                <w:b w:val="0"/>
                <w:i w:val="0"/>
                <w:color w:val="555566"/>
                <w:sz w:val="16"/>
              </w:rPr>
              <w:t>Iniciativas de mejora CX</w:t>
            </w:r>
          </w:p>
        </w:tc>
        <w:tc>
          <w:tcPr>
            <w:tcW w:type="dxa" w:w="4703"/>
            <w:tcBorders>
              <w:top w:val="none"/>
              <w:left w:val="none"/>
              <w:bottom w:val="none"/>
              <w:right w:val="none"/>
              <w:insideH w:val="none"/>
              <w:insideV w:val="none"/>
            </w:tcBorders>
            <w:shd w:val="clear" w:color="auto" w:fill="F5F5F8"/>
          </w:tcPr>
          <w:p>
            <w:pPr>
              <w:spacing w:after="0"/>
            </w:pPr>
            <w:r>
              <w:rPr>
                <w:rFonts w:ascii="Calibri" w:hAnsi="Calibri"/>
                <w:b/>
                <w:i w:val="0"/>
                <w:color w:val="0A0A0A"/>
                <w:sz w:val="22"/>
              </w:rPr>
              <w:t>Retail &amp; Wholesale</w:t>
            </w:r>
          </w:p>
          <w:p>
            <w:pPr>
              <w:spacing w:before="20" w:after="0"/>
            </w:pPr>
            <w:r>
              <w:rPr>
                <w:rFonts w:ascii="Calibri" w:hAnsi="Calibri"/>
                <w:b w:val="0"/>
                <w:i w:val="0"/>
                <w:color w:val="555566"/>
                <w:sz w:val="16"/>
              </w:rPr>
              <w:t>Segmentos de clientes</w:t>
            </w:r>
          </w:p>
        </w:tc>
      </w:tr>
    </w:tbl>
    <w:p/>
    <w:p>
      <w:pPr>
        <w:pStyle w:val="ListBullet"/>
        <w:spacing w:before="20" w:after="20"/>
        <w:ind w:left="283"/>
      </w:pPr>
      <w:r>
        <w:rPr>
          <w:rFonts w:ascii="Calibri" w:hAnsi="Calibri"/>
          <w:b w:val="0"/>
          <w:color w:val="222233"/>
          <w:sz w:val="20"/>
        </w:rPr>
        <w:t xml:space="preserve">Diseño de </w:t>
      </w:r>
      <w:r>
        <w:rPr>
          <w:rFonts w:ascii="Calibri" w:hAnsi="Calibri"/>
          <w:b/>
          <w:color w:val="0A0A0A"/>
          <w:sz w:val="20"/>
        </w:rPr>
        <w:t>métricas de fidelización</w:t>
      </w:r>
      <w:r>
        <w:rPr>
          <w:rFonts w:ascii="Calibri" w:hAnsi="Calibri"/>
          <w:b w:val="0"/>
          <w:color w:val="222233"/>
          <w:sz w:val="20"/>
        </w:rPr>
        <w:t xml:space="preserve"> para segmentos retail y wholesale, evaluando el impacto de campañas sobre la base de clientes del banco.</w:t>
      </w:r>
    </w:p>
    <w:p>
      <w:pPr>
        <w:pStyle w:val="ListBullet"/>
        <w:spacing w:before="20" w:after="20"/>
        <w:ind w:left="283"/>
      </w:pPr>
      <w:r>
        <w:rPr>
          <w:rFonts w:ascii="Calibri" w:hAnsi="Calibri"/>
          <w:b w:val="0"/>
          <w:color w:val="222233"/>
          <w:sz w:val="20"/>
        </w:rPr>
        <w:t xml:space="preserve">Participación activa en </w:t>
      </w:r>
      <w:r>
        <w:rPr>
          <w:rFonts w:ascii="Calibri" w:hAnsi="Calibri"/>
          <w:b/>
          <w:color w:val="0A0A0A"/>
          <w:sz w:val="20"/>
        </w:rPr>
        <w:t>5 iniciativas exitosas</w:t>
      </w:r>
      <w:r>
        <w:rPr>
          <w:rFonts w:ascii="Calibri" w:hAnsi="Calibri"/>
          <w:b w:val="0"/>
          <w:color w:val="222233"/>
          <w:sz w:val="20"/>
        </w:rPr>
        <w:t xml:space="preserve"> de mejora de experiencia del cliente.</w:t>
      </w:r>
    </w:p>
    <w:p>
      <w:pPr>
        <w:spacing w:before="280" w:after="80"/>
        <w:pBdr>
          <w:bottom w:val="single" w:sz="4" w:space="4" w:color="DDDDDD"/>
        </w:pBdr>
      </w:pPr>
      <w:r>
        <w:rPr>
          <w:rFonts w:ascii="Calibri" w:hAnsi="Calibri"/>
          <w:b/>
          <w:i w:val="0"/>
          <w:color w:val="555566"/>
          <w:sz w:val="16"/>
        </w:rPr>
        <w:t>EDUCACIÓN</w:t>
      </w:r>
    </w:p>
    <w:p>
      <w:pPr>
        <w:spacing w:before="120" w:after="20"/>
      </w:pPr>
      <w:r>
        <w:rPr>
          <w:rFonts w:ascii="Calibri" w:hAnsi="Calibri"/>
          <w:b/>
          <w:i w:val="0"/>
          <w:color w:val="0A0A0A"/>
          <w:sz w:val="22"/>
        </w:rPr>
        <w:t>Master in Management</w:t>
      </w:r>
    </w:p>
    <w:p>
      <w:pPr>
        <w:spacing w:before="0" w:after="40"/>
      </w:pPr>
      <w:r>
        <w:rPr>
          <w:rFonts w:ascii="Calibri" w:hAnsi="Calibri"/>
          <w:b w:val="0"/>
          <w:i w:val="0"/>
          <w:color w:val="555566"/>
          <w:sz w:val="18"/>
        </w:rPr>
        <w:t>Pacífico Business School · Lima, Perú  ·  Postgrado · 2024</w:t>
      </w:r>
    </w:p>
    <w:p>
      <w:pPr>
        <w:spacing w:before="120" w:after="20"/>
      </w:pPr>
      <w:r>
        <w:rPr>
          <w:rFonts w:ascii="Calibri" w:hAnsi="Calibri"/>
          <w:b/>
          <w:i w:val="0"/>
          <w:color w:val="0A0A0A"/>
          <w:sz w:val="22"/>
        </w:rPr>
        <w:t>Bachiller en Marketing</w:t>
      </w:r>
    </w:p>
    <w:p>
      <w:pPr>
        <w:spacing w:before="0" w:after="40"/>
      </w:pPr>
      <w:r>
        <w:rPr>
          <w:rFonts w:ascii="Calibri" w:hAnsi="Calibri"/>
          <w:b w:val="0"/>
          <w:i w:val="0"/>
          <w:color w:val="555566"/>
          <w:sz w:val="18"/>
        </w:rPr>
        <w:t>Universidad del Pacífico · Lima, Perú  ·  Pregrado · 2021</w:t>
      </w:r>
    </w:p>
    <w:p>
      <w:pPr>
        <w:spacing w:before="280" w:after="80"/>
        <w:pBdr>
          <w:bottom w:val="single" w:sz="4" w:space="4" w:color="DDDDDD"/>
        </w:pBdr>
      </w:pPr>
      <w:r>
        <w:rPr>
          <w:rFonts w:ascii="Calibri" w:hAnsi="Calibri"/>
          <w:b/>
          <w:i w:val="0"/>
          <w:color w:val="555566"/>
          <w:sz w:val="16"/>
        </w:rPr>
        <w:t>CERTIFICACIONES</w:t>
      </w:r>
    </w:p>
    <w:p>
      <w:pPr>
        <w:spacing w:before="60" w:after="20"/>
      </w:pPr>
      <w:r>
        <w:rPr>
          <w:rFonts w:ascii="Calibri" w:hAnsi="Calibri"/>
          <w:b/>
          <w:i w:val="0"/>
          <w:color w:val="16A34A"/>
          <w:sz w:val="18"/>
        </w:rPr>
        <w:t xml:space="preserve">[✓]  </w:t>
      </w:r>
      <w:r>
        <w:rPr>
          <w:rFonts w:ascii="Calibri" w:hAnsi="Calibri"/>
          <w:b/>
          <w:i w:val="0"/>
          <w:color w:val="0A0A0A"/>
          <w:sz w:val="20"/>
        </w:rPr>
        <w:t>Data Specialist</w:t>
      </w:r>
      <w:r>
        <w:rPr>
          <w:rFonts w:ascii="Calibri" w:hAnsi="Calibri"/>
          <w:b w:val="0"/>
          <w:i w:val="0"/>
          <w:color w:val="555566"/>
          <w:sz w:val="18"/>
        </w:rPr>
        <w:t xml:space="preserve">  —  BBVA University · 2024</w:t>
      </w:r>
    </w:p>
    <w:p>
      <w:pPr>
        <w:spacing w:before="60" w:after="20"/>
      </w:pPr>
      <w:r>
        <w:rPr>
          <w:rFonts w:ascii="Calibri" w:hAnsi="Calibri"/>
          <w:b/>
          <w:i w:val="0"/>
          <w:color w:val="16A34A"/>
          <w:sz w:val="18"/>
        </w:rPr>
        <w:t xml:space="preserve">[✓]  </w:t>
      </w:r>
      <w:r>
        <w:rPr>
          <w:rFonts w:ascii="Calibri" w:hAnsi="Calibri"/>
          <w:b/>
          <w:i w:val="0"/>
          <w:color w:val="0A0A0A"/>
          <w:sz w:val="20"/>
        </w:rPr>
        <w:t>SQL for Data Science</w:t>
      </w:r>
      <w:r>
        <w:rPr>
          <w:rFonts w:ascii="Calibri" w:hAnsi="Calibri"/>
          <w:b w:val="0"/>
          <w:i w:val="0"/>
          <w:color w:val="555566"/>
          <w:sz w:val="18"/>
        </w:rPr>
        <w:t xml:space="preserve">  —  UCLA Extension · 2022</w:t>
      </w:r>
    </w:p>
    <w:p>
      <w:pPr>
        <w:spacing w:before="60" w:after="20"/>
      </w:pPr>
      <w:r>
        <w:rPr>
          <w:rFonts w:ascii="Calibri" w:hAnsi="Calibri"/>
          <w:b/>
          <w:i w:val="0"/>
          <w:color w:val="16A34A"/>
          <w:sz w:val="18"/>
        </w:rPr>
        <w:t xml:space="preserve">[✓]  </w:t>
      </w:r>
      <w:r>
        <w:rPr>
          <w:rFonts w:ascii="Calibri" w:hAnsi="Calibri"/>
          <w:b/>
          <w:i w:val="0"/>
          <w:color w:val="0A0A0A"/>
          <w:sz w:val="20"/>
        </w:rPr>
        <w:t>Professional Certificate in Data Science</w:t>
      </w:r>
      <w:r>
        <w:rPr>
          <w:rFonts w:ascii="Calibri" w:hAnsi="Calibri"/>
          <w:b w:val="0"/>
          <w:i w:val="0"/>
          <w:color w:val="555566"/>
          <w:sz w:val="18"/>
        </w:rPr>
        <w:t xml:space="preserve">  —  IBM · 2020</w:t>
      </w:r>
    </w:p>
    <w:p>
      <w:pPr>
        <w:spacing w:before="60" w:after="20"/>
      </w:pPr>
      <w:r>
        <w:rPr>
          <w:rFonts w:ascii="Calibri" w:hAnsi="Calibri"/>
          <w:b/>
          <w:i w:val="0"/>
          <w:color w:val="16A34A"/>
          <w:sz w:val="18"/>
        </w:rPr>
        <w:t xml:space="preserve">[✓]  </w:t>
      </w:r>
      <w:r>
        <w:rPr>
          <w:rFonts w:ascii="Calibri" w:hAnsi="Calibri"/>
          <w:b/>
          <w:i w:val="0"/>
          <w:color w:val="0A0A0A"/>
          <w:sz w:val="20"/>
        </w:rPr>
        <w:t>Big Data &amp; Cloud Analytics</w:t>
      </w:r>
      <w:r>
        <w:rPr>
          <w:rFonts w:ascii="Calibri" w:hAnsi="Calibri"/>
          <w:b w:val="0"/>
          <w:i w:val="0"/>
          <w:color w:val="555566"/>
          <w:sz w:val="18"/>
        </w:rPr>
        <w:t xml:space="preserve">  —  Kedge Business School · 2020</w:t>
      </w:r>
    </w:p>
    <w:p>
      <w:pPr>
        <w:spacing w:before="280" w:after="80"/>
        <w:pBdr>
          <w:bottom w:val="single" w:sz="4" w:space="4" w:color="DDDDDD"/>
        </w:pBdr>
      </w:pPr>
      <w:r>
        <w:rPr>
          <w:rFonts w:ascii="Calibri" w:hAnsi="Calibri"/>
          <w:b/>
          <w:i w:val="0"/>
          <w:color w:val="555566"/>
          <w:sz w:val="16"/>
        </w:rPr>
        <w:t>IDIOMAS</w:t>
      </w:r>
    </w:p>
    <w:p>
      <w:pPr>
        <w:spacing w:before="80" w:after="20"/>
      </w:pPr>
      <w:r>
        <w:rPr>
          <w:rFonts w:ascii="Calibri" w:hAnsi="Calibri"/>
          <w:b/>
          <w:i w:val="0"/>
          <w:color w:val="0A0A0A"/>
          <w:sz w:val="20"/>
        </w:rPr>
        <w:t>Español  —  Nativo</w:t>
      </w:r>
    </w:p>
    <w:p>
      <w:pPr>
        <w:spacing w:before="80" w:after="20"/>
      </w:pPr>
      <w:r>
        <w:rPr>
          <w:rFonts w:ascii="Calibri" w:hAnsi="Calibri"/>
          <w:b/>
          <w:i w:val="0"/>
          <w:color w:val="0A0A0A"/>
          <w:sz w:val="20"/>
        </w:rPr>
        <w:t>Inglés  —  Profesional</w:t>
      </w:r>
      <w:r>
        <w:rPr>
          <w:rFonts w:ascii="Calibri" w:hAnsi="Calibri"/>
          <w:b w:val="0"/>
          <w:i/>
          <w:color w:val="555566"/>
          <w:sz w:val="18"/>
        </w:rPr>
        <w:t xml:space="preserve">  (IELTS Academic Band 7.0)</w:t>
      </w:r>
    </w:p>
    <w:p>
      <w:pPr>
        <w:spacing w:before="80" w:after="20"/>
      </w:pPr>
      <w:r>
        <w:rPr>
          <w:rFonts w:ascii="Calibri" w:hAnsi="Calibri"/>
          <w:b/>
          <w:i w:val="0"/>
          <w:color w:val="0A0A0A"/>
          <w:sz w:val="20"/>
        </w:rPr>
        <w:t>Italiano  —  Conversacional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