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0A0A0A"/>
          <w:sz w:val="52"/>
        </w:rPr>
        <w:t>Carlo Rondón</w:t>
      </w:r>
    </w:p>
    <w:p>
      <w:pPr>
        <w:spacing w:after="120"/>
      </w:pPr>
      <w:r>
        <w:rPr>
          <w:rFonts w:ascii="Calibri" w:hAnsi="Calibri"/>
          <w:b w:val="0"/>
          <w:i/>
          <w:color w:val="555566"/>
          <w:sz w:val="24"/>
        </w:rPr>
        <w:t>Fintech &amp; Payments Strategy</w:t>
      </w:r>
    </w:p>
    <w:p>
      <w:pPr>
        <w:spacing w:after="40"/>
      </w:pPr>
      <w:r>
        <w:rPr>
          <w:rFonts w:ascii="Calibri" w:hAnsi="Calibri"/>
          <w:b w:val="0"/>
          <w:i w:val="0"/>
          <w:color w:val="555566"/>
          <w:sz w:val="18"/>
        </w:rPr>
        <w:t>Lima, Peru  ·  carlorndn@gmail.com  ·  +51936735897  ·  linkedin.com/in/carlo-rondon</w:t>
      </w:r>
    </w:p>
    <w:p>
      <w:pPr>
        <w:spacing w:before="28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555566"/>
          <w:sz w:val="16"/>
        </w:rPr>
        <w:t>PROFILE</w:t>
      </w:r>
    </w:p>
    <w:p>
      <w:pPr>
        <w:spacing w:before="0" w:after="60"/>
      </w:pPr>
      <w:r>
        <w:rPr>
          <w:rFonts w:ascii="Calibri" w:hAnsi="Calibri"/>
          <w:b w:val="0"/>
          <w:color w:val="222233"/>
          <w:sz w:val="20"/>
        </w:rPr>
        <w:t>Payments is where I've made my mark. I scaled a payments fintech from fewer than 100 merchants past 40,000, lifted merchant conversion from 2% to 8%, optimized pricing and promotions for a payments business with 20,000+ active clients, and today sell the banking connectivity APIs that move corporate money in real time. I pair that commercial track record with a technical edge —data architecture, pricing models, AI automation and the stack behind them (SQL, Python, cloud, APIs, LLMs)— so I don't just run payments strategy, I build it. Six-plus years across fintech, banking and consulting, a postgraduate degree in management and certifications in data science and cloud analytics. My focus now is the next frontier of payments in Latin America: faster money movement, smarter pricing and products that scale.</w:t>
      </w:r>
    </w:p>
    <w:p>
      <w:pPr>
        <w:spacing w:before="28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555566"/>
          <w:sz w:val="16"/>
        </w:rPr>
        <w:t>PROFESSIONAL EXPERIENCE</w:t>
      </w:r>
    </w:p>
    <w:p>
      <w:pPr>
        <w:spacing w:before="200" w:after="40"/>
      </w:pPr>
      <w:r>
        <w:rPr>
          <w:rFonts w:ascii="Calibri" w:hAnsi="Calibri"/>
          <w:b/>
          <w:i w:val="0"/>
          <w:color w:val="0A0A0A"/>
          <w:sz w:val="24"/>
        </w:rPr>
        <w:t>BBVA Peru</w:t>
      </w:r>
      <w:r>
        <w:rPr>
          <w:rFonts w:ascii="Calibri" w:hAnsi="Calibri"/>
          <w:b w:val="0"/>
          <w:i w:val="0"/>
          <w:color w:val="555566"/>
          <w:sz w:val="18"/>
        </w:rPr>
        <w:t xml:space="preserve">   May 2022 – Present  ·  3+ years</w:t>
      </w:r>
    </w:p>
    <w:p>
      <w:pPr>
        <w:spacing w:before="160" w:after="40"/>
      </w:pPr>
      <w:r>
        <w:rPr>
          <w:rFonts w:ascii="Calibri" w:hAnsi="Calibri"/>
          <w:b/>
          <w:i w:val="0"/>
          <w:color w:val="0A0A0A"/>
          <w:sz w:val="22"/>
        </w:rPr>
        <w:t>Cash Management Executive</w:t>
      </w:r>
      <w:r>
        <w:t xml:space="preserve">  </w:t>
      </w:r>
      <w:r>
        <w:rPr>
          <w:rFonts w:ascii="Calibri" w:hAnsi="Calibri"/>
          <w:b w:val="0"/>
          <w:i/>
          <w:color w:val="555566"/>
          <w:sz w:val="18"/>
        </w:rPr>
        <w:t>Corporate &amp; Large-Enterprise Banking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555566"/>
          <w:sz w:val="18"/>
        </w:rPr>
        <w:t>Mar 2026 – Present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APIs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Banking interconnection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Real-time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Payments, collections &amp; reconciliation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C-level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Level of engagement</w:t>
            </w:r>
          </w:p>
        </w:tc>
      </w:tr>
    </w:tbl>
    <w:p/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Sale and implementation of </w:t>
      </w:r>
      <w:r>
        <w:rPr>
          <w:rFonts w:ascii="Calibri" w:hAnsi="Calibri"/>
          <w:b/>
          <w:color w:val="0A0A0A"/>
          <w:sz w:val="20"/>
        </w:rPr>
        <w:t>banking connectivity APIs</w:t>
      </w:r>
      <w:r>
        <w:rPr>
          <w:rFonts w:ascii="Calibri" w:hAnsi="Calibri"/>
          <w:b w:val="0"/>
          <w:color w:val="222233"/>
          <w:sz w:val="20"/>
        </w:rPr>
        <w:t xml:space="preserve"> (host-to-host, ERP-to-bank integration and open banking) that interconnect corporate clients' treasury systems with the bank's core, automating payments, collections and reconciliation in real time.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Design and construction of </w:t>
      </w:r>
      <w:r>
        <w:rPr>
          <w:rFonts w:ascii="Calibri" w:hAnsi="Calibri"/>
          <w:b/>
          <w:color w:val="0A0A0A"/>
          <w:sz w:val="20"/>
        </w:rPr>
        <w:t>financial models</w:t>
      </w:r>
      <w:r>
        <w:rPr>
          <w:rFonts w:ascii="Calibri" w:hAnsi="Calibri"/>
          <w:b w:val="0"/>
          <w:color w:val="222233"/>
          <w:sz w:val="20"/>
        </w:rPr>
        <w:t xml:space="preserve"> for the corporate-client portfolio, projecting ROI scenarios and cash in/out product placement that drive digitalization and transactional revenue.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>Executive relationship management with Peru's leading corporations, driving the adoption of digital and connectivity solutions before executive committees.</w:t>
      </w:r>
    </w:p>
    <w:p>
      <w:pPr>
        <w:spacing w:before="160" w:after="40"/>
      </w:pPr>
      <w:r>
        <w:rPr>
          <w:rFonts w:ascii="Calibri" w:hAnsi="Calibri"/>
          <w:b/>
          <w:i w:val="0"/>
          <w:color w:val="0A0A0A"/>
          <w:sz w:val="22"/>
        </w:rPr>
        <w:t>Payments &amp; Loyalty Associate</w:t>
      </w:r>
      <w:r>
        <w:t xml:space="preserve">  </w:t>
      </w:r>
      <w:r>
        <w:rPr>
          <w:rFonts w:ascii="Calibri" w:hAnsi="Calibri"/>
          <w:b w:val="0"/>
          <w:i/>
          <w:color w:val="555566"/>
          <w:sz w:val="18"/>
        </w:rPr>
        <w:t>Dec 2025 – Mar 2026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+20,000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Active clients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Exponential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Cash-in growth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Elasticity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Pricing analysis</w:t>
            </w:r>
          </w:p>
        </w:tc>
      </w:tr>
    </w:tbl>
    <w:p/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Optimization of the payments business </w:t>
      </w:r>
      <w:r>
        <w:rPr>
          <w:rFonts w:ascii="Calibri" w:hAnsi="Calibri"/>
          <w:b/>
          <w:color w:val="0A0A0A"/>
          <w:sz w:val="20"/>
        </w:rPr>
        <w:t>pricing and promotions model</w:t>
      </w:r>
      <w:r>
        <w:rPr>
          <w:rFonts w:ascii="Calibri" w:hAnsi="Calibri"/>
          <w:b w:val="0"/>
          <w:color w:val="222233"/>
          <w:sz w:val="20"/>
        </w:rPr>
        <w:t xml:space="preserve"> through demand-elasticity analysis and advanced customer segmentation, maximizing conversion and activation.</w:t>
      </w:r>
    </w:p>
    <w:p>
      <w:pPr>
        <w:spacing w:before="160" w:after="40"/>
      </w:pPr>
      <w:r>
        <w:rPr>
          <w:rFonts w:ascii="Calibri" w:hAnsi="Calibri"/>
          <w:b/>
          <w:i w:val="0"/>
          <w:color w:val="0A0A0A"/>
          <w:sz w:val="22"/>
        </w:rPr>
        <w:t>Senior Data &amp; Commercial Analyst</w:t>
      </w:r>
      <w:r>
        <w:t xml:space="preserve">  </w:t>
      </w:r>
      <w:r>
        <w:rPr>
          <w:rFonts w:ascii="Calibri" w:hAnsi="Calibri"/>
          <w:b w:val="0"/>
          <w:i/>
          <w:color w:val="555566"/>
          <w:sz w:val="18"/>
        </w:rPr>
        <w:t>Openpay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555566"/>
          <w:sz w:val="18"/>
        </w:rPr>
        <w:t>Mar 2025 – Dec 2025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12 months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Rollout to 3 areas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In production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Model still live today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International HQ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Model adoption</w:t>
            </w:r>
          </w:p>
        </w:tc>
      </w:tr>
    </w:tbl>
    <w:p/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Rolled the framework out over 12 months to </w:t>
      </w:r>
      <w:r>
        <w:rPr>
          <w:rFonts w:ascii="Calibri" w:hAnsi="Calibri"/>
          <w:b/>
          <w:color w:val="0A0A0A"/>
          <w:sz w:val="20"/>
        </w:rPr>
        <w:t>Operations</w:t>
      </w:r>
      <w:r>
        <w:rPr>
          <w:rFonts w:ascii="Calibri" w:hAnsi="Calibri"/>
          <w:b w:val="0"/>
          <w:color w:val="222233"/>
          <w:sz w:val="20"/>
        </w:rPr>
        <w:t xml:space="preserve"> (post-sale prioritization by transaction value and growth projection), </w:t>
      </w:r>
      <w:r>
        <w:rPr>
          <w:rFonts w:ascii="Calibri" w:hAnsi="Calibri"/>
          <w:b/>
          <w:color w:val="0A0A0A"/>
          <w:sz w:val="20"/>
        </w:rPr>
        <w:t>Marketing</w:t>
      </w:r>
      <w:r>
        <w:rPr>
          <w:rFonts w:ascii="Calibri" w:hAnsi="Calibri"/>
          <w:b w:val="0"/>
          <w:color w:val="222233"/>
          <w:sz w:val="20"/>
        </w:rPr>
        <w:t xml:space="preserve"> (segment focus on e-commerce) and </w:t>
      </w:r>
      <w:r>
        <w:rPr>
          <w:rFonts w:ascii="Calibri" w:hAnsi="Calibri"/>
          <w:b/>
          <w:color w:val="0A0A0A"/>
          <w:sz w:val="20"/>
        </w:rPr>
        <w:t>Fraud</w:t>
      </w:r>
      <w:r>
        <w:rPr>
          <w:rFonts w:ascii="Calibri" w:hAnsi="Calibri"/>
          <w:b w:val="0"/>
          <w:color w:val="222233"/>
          <w:sz w:val="20"/>
        </w:rPr>
        <w:t xml:space="preserve"> (commercial signals the detection engine hadn't mapped yet), with Peru's country manager as executive sponsor.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The model </w:t>
      </w:r>
      <w:r>
        <w:rPr>
          <w:rFonts w:ascii="Calibri" w:hAnsi="Calibri"/>
          <w:b/>
          <w:color w:val="0A0A0A"/>
          <w:sz w:val="20"/>
        </w:rPr>
        <w:t>remains in production today</w:t>
      </w:r>
      <w:r>
        <w:rPr>
          <w:rFonts w:ascii="Calibri" w:hAnsi="Calibri"/>
          <w:b w:val="0"/>
          <w:color w:val="222233"/>
          <w:sz w:val="20"/>
        </w:rPr>
        <w:t xml:space="preserve"> and was adopted by the international HQ in Mexico, whose fraud team requested the commercial dataset.</w:t>
      </w:r>
    </w:p>
    <w:p>
      <w:pPr>
        <w:spacing w:before="160" w:after="40"/>
      </w:pPr>
      <w:r>
        <w:rPr>
          <w:rFonts w:ascii="Calibri" w:hAnsi="Calibri"/>
          <w:b/>
          <w:i w:val="0"/>
          <w:color w:val="0A0A0A"/>
          <w:sz w:val="22"/>
        </w:rPr>
        <w:t>Data &amp; Commercial Analyst</w:t>
      </w:r>
      <w:r>
        <w:t xml:space="preserve">  </w:t>
      </w:r>
      <w:r>
        <w:rPr>
          <w:rFonts w:ascii="Calibri" w:hAnsi="Calibri"/>
          <w:b w:val="0"/>
          <w:i/>
          <w:color w:val="555566"/>
          <w:sz w:val="18"/>
        </w:rPr>
        <w:t>Openpay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555566"/>
          <w:sz w:val="18"/>
        </w:rPr>
        <w:t>May 2022 – Mar 2025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&lt;100 → 40K+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Merchants as it scaled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2% → 8%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Lead conversion</w:t>
            </w:r>
          </w:p>
        </w:tc>
        <w:tc>
          <w:tcPr>
            <w:tcW w:type="dxa" w:w="3135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19% → 42%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Junk-lead rejection</w:t>
            </w:r>
          </w:p>
        </w:tc>
      </w:tr>
    </w:tbl>
    <w:p/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Joined a </w:t>
      </w:r>
      <w:r>
        <w:rPr>
          <w:rFonts w:ascii="Calibri" w:hAnsi="Calibri"/>
          <w:b/>
          <w:color w:val="0A0A0A"/>
          <w:sz w:val="20"/>
        </w:rPr>
        <w:t>BBVA payments fintech</w:t>
      </w:r>
      <w:r>
        <w:rPr>
          <w:rFonts w:ascii="Calibri" w:hAnsi="Calibri"/>
          <w:b w:val="0"/>
          <w:color w:val="222233"/>
          <w:sz w:val="20"/>
        </w:rPr>
        <w:t xml:space="preserve"> serving fewer than 100 merchants with no defined data processes: decisions ran on a weekly spreadsheet and a monthly results deck. I built </w:t>
      </w:r>
      <w:r>
        <w:rPr>
          <w:rFonts w:ascii="Calibri" w:hAnsi="Calibri"/>
          <w:b/>
          <w:color w:val="0A0A0A"/>
          <w:sz w:val="20"/>
        </w:rPr>
        <w:t>predictive models and daily-cut reporting</w:t>
      </w:r>
      <w:r>
        <w:rPr>
          <w:rFonts w:ascii="Calibri" w:hAnsi="Calibri"/>
          <w:b w:val="0"/>
          <w:color w:val="222233"/>
          <w:sz w:val="20"/>
        </w:rPr>
        <w:t xml:space="preserve"> that became the decision layer for four teams as the business scaled past 40,000 merchants.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Lifted </w:t>
      </w:r>
      <w:r>
        <w:rPr>
          <w:rFonts w:ascii="Calibri" w:hAnsi="Calibri"/>
          <w:b/>
          <w:color w:val="0A0A0A"/>
          <w:sz w:val="20"/>
        </w:rPr>
        <w:t>commercial lead conversion from 2% to 8%</w:t>
      </w:r>
      <w:r>
        <w:rPr>
          <w:rFonts w:ascii="Calibri" w:hAnsi="Calibri"/>
          <w:b w:val="0"/>
          <w:color w:val="222233"/>
          <w:sz w:val="20"/>
        </w:rPr>
        <w:t xml:space="preserve"> in under three months by scoring lead quality, raising junk-lead rejection from 19% to 42% and refocusing sales effort on winnable accounts.</w:t>
      </w:r>
    </w:p>
    <w:p>
      <w:pPr>
        <w:spacing w:before="120" w:after="40"/>
      </w:pPr>
      <w:r>
        <w:rPr>
          <w:rFonts w:ascii="Calibri" w:hAnsi="Calibri"/>
          <w:b/>
          <w:i w:val="0"/>
          <w:color w:val="555566"/>
          <w:sz w:val="18"/>
        </w:rPr>
        <w:t xml:space="preserve">Skills: </w:t>
      </w:r>
      <w:r>
        <w:rPr>
          <w:rFonts w:ascii="Calibri" w:hAnsi="Calibri"/>
          <w:b w:val="0"/>
          <w:i w:val="0"/>
          <w:color w:val="555566"/>
          <w:sz w:val="18"/>
        </w:rPr>
        <w:t>SQL  ·  Python  ·  Power BI  ·  AWS  ·  ETL  ·  Financial modeling  ·  Pricing  ·  Salesforce</w:t>
      </w:r>
    </w:p>
    <w:p>
      <w:pPr>
        <w:spacing w:before="200" w:after="40"/>
      </w:pPr>
      <w:r>
        <w:rPr>
          <w:rFonts w:ascii="Calibri" w:hAnsi="Calibri"/>
          <w:b/>
          <w:i w:val="0"/>
          <w:color w:val="0A0A0A"/>
          <w:sz w:val="24"/>
        </w:rPr>
        <w:t>PwC Peru</w:t>
      </w:r>
      <w:r>
        <w:rPr>
          <w:rFonts w:ascii="Calibri" w:hAnsi="Calibri"/>
          <w:b w:val="0"/>
          <w:i w:val="0"/>
          <w:color w:val="555566"/>
          <w:sz w:val="18"/>
        </w:rPr>
        <w:t xml:space="preserve">   September 2019 – May 2022  ·  2y 8m</w:t>
      </w:r>
    </w:p>
    <w:p>
      <w:pPr>
        <w:spacing w:before="160" w:after="40"/>
      </w:pPr>
      <w:r>
        <w:rPr>
          <w:rFonts w:ascii="Calibri" w:hAnsi="Calibri"/>
          <w:b/>
          <w:i w:val="0"/>
          <w:color w:val="0A0A0A"/>
          <w:sz w:val="22"/>
        </w:rPr>
        <w:t>Business Intelligence Associate</w:t>
      </w:r>
      <w:r>
        <w:t xml:space="preserve">  </w:t>
      </w:r>
      <w:r>
        <w:rPr>
          <w:rFonts w:ascii="Calibri" w:hAnsi="Calibri"/>
          <w:b w:val="0"/>
          <w:i/>
          <w:color w:val="555566"/>
          <w:sz w:val="18"/>
        </w:rPr>
        <w:t>Aug 2020 – May 2022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Top 10%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Firm performance (2019–2020)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+10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Data initiatives led</w:t>
            </w:r>
          </w:p>
        </w:tc>
      </w:tr>
    </w:tbl>
    <w:p/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Led </w:t>
      </w:r>
      <w:r>
        <w:rPr>
          <w:rFonts w:ascii="Calibri" w:hAnsi="Calibri"/>
          <w:b/>
          <w:color w:val="0A0A0A"/>
          <w:sz w:val="20"/>
        </w:rPr>
        <w:t>10+ commercial and data initiatives</w:t>
      </w:r>
      <w:r>
        <w:rPr>
          <w:rFonts w:ascii="Calibri" w:hAnsi="Calibri"/>
          <w:b w:val="0"/>
          <w:color w:val="222233"/>
          <w:sz w:val="20"/>
        </w:rPr>
        <w:t>, significantly increasing opportunity detection across the firm's service lines.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Analytical and commercial support to Audit, </w:t>
      </w:r>
      <w:r>
        <w:rPr>
          <w:rFonts w:ascii="Calibri" w:hAnsi="Calibri"/>
          <w:b/>
          <w:color w:val="0A0A0A"/>
          <w:sz w:val="20"/>
        </w:rPr>
        <w:t>PwC Peru's main revenue line</w:t>
      </w:r>
      <w:r>
        <w:rPr>
          <w:rFonts w:ascii="Calibri" w:hAnsi="Calibri"/>
          <w:b w:val="0"/>
          <w:color w:val="222233"/>
          <w:sz w:val="20"/>
        </w:rPr>
        <w:t>, in designing and implementing growth strategies.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Recognized with </w:t>
      </w:r>
      <w:r>
        <w:rPr>
          <w:rFonts w:ascii="Calibri" w:hAnsi="Calibri"/>
          <w:b/>
          <w:color w:val="0A0A0A"/>
          <w:sz w:val="20"/>
        </w:rPr>
        <w:t>performance above the 90th percentile</w:t>
      </w:r>
      <w:r>
        <w:rPr>
          <w:rFonts w:ascii="Calibri" w:hAnsi="Calibri"/>
          <w:b w:val="0"/>
          <w:color w:val="222233"/>
          <w:sz w:val="20"/>
        </w:rPr>
        <w:t xml:space="preserve"> of the firm for two consecutive years (2019 and 2020).</w:t>
      </w:r>
    </w:p>
    <w:p>
      <w:pPr>
        <w:spacing w:before="160" w:after="40"/>
      </w:pPr>
      <w:r>
        <w:rPr>
          <w:rFonts w:ascii="Calibri" w:hAnsi="Calibri"/>
          <w:b/>
          <w:i w:val="0"/>
          <w:color w:val="0A0A0A"/>
          <w:sz w:val="22"/>
        </w:rPr>
        <w:t>Business Expansion Intern</w:t>
      </w:r>
      <w:r>
        <w:t xml:space="preserve">  </w:t>
      </w:r>
      <w:r>
        <w:rPr>
          <w:rFonts w:ascii="Calibri" w:hAnsi="Calibri"/>
          <w:b w:val="0"/>
          <w:i/>
          <w:color w:val="555566"/>
          <w:sz w:val="18"/>
        </w:rPr>
        <w:t>Sep 2019 – Aug 2020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+700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Staff trained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Nationwide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Salesforce project scope</w:t>
            </w:r>
          </w:p>
        </w:tc>
      </w:tr>
    </w:tbl>
    <w:p/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Led the </w:t>
      </w:r>
      <w:r>
        <w:rPr>
          <w:rFonts w:ascii="Calibri" w:hAnsi="Calibri"/>
          <w:b/>
          <w:color w:val="0A0A0A"/>
          <w:sz w:val="20"/>
        </w:rPr>
        <w:t>Salesforce migration</w:t>
      </w:r>
      <w:r>
        <w:rPr>
          <w:rFonts w:ascii="Calibri" w:hAnsi="Calibri"/>
          <w:b w:val="0"/>
          <w:color w:val="222233"/>
          <w:sz w:val="20"/>
        </w:rPr>
        <w:t xml:space="preserve"> across Peru, designing the training plan and onboarding 700+ of the firm's staff onto the new CRM system.</w:t>
      </w:r>
    </w:p>
    <w:p>
      <w:pPr>
        <w:spacing w:before="120" w:after="40"/>
      </w:pPr>
      <w:r>
        <w:rPr>
          <w:rFonts w:ascii="Calibri" w:hAnsi="Calibri"/>
          <w:b/>
          <w:i w:val="0"/>
          <w:color w:val="555566"/>
          <w:sz w:val="18"/>
        </w:rPr>
        <w:t xml:space="preserve">Skills: </w:t>
      </w:r>
      <w:r>
        <w:rPr>
          <w:rFonts w:ascii="Calibri" w:hAnsi="Calibri"/>
          <w:b w:val="0"/>
          <w:i w:val="0"/>
          <w:color w:val="555566"/>
          <w:sz w:val="18"/>
        </w:rPr>
        <w:t>Business Intelligence  ·  Commercial analysis  ·  Salesforce  ·  Consulting</w:t>
      </w:r>
    </w:p>
    <w:p>
      <w:pPr>
        <w:spacing w:before="200" w:after="40"/>
      </w:pPr>
      <w:r>
        <w:rPr>
          <w:rFonts w:ascii="Calibri" w:hAnsi="Calibri"/>
          <w:b/>
          <w:i w:val="0"/>
          <w:color w:val="0A0A0A"/>
          <w:sz w:val="24"/>
        </w:rPr>
        <w:t>Scotiabank Peru</w:t>
      </w:r>
      <w:r>
        <w:rPr>
          <w:rFonts w:ascii="Calibri" w:hAnsi="Calibri"/>
          <w:b w:val="0"/>
          <w:i w:val="0"/>
          <w:color w:val="555566"/>
          <w:sz w:val="18"/>
        </w:rPr>
        <w:t xml:space="preserve">   February – October 2019  ·  9 months</w:t>
      </w:r>
    </w:p>
    <w:p>
      <w:pPr>
        <w:spacing w:before="160" w:after="40"/>
      </w:pPr>
      <w:r>
        <w:rPr>
          <w:rFonts w:ascii="Calibri" w:hAnsi="Calibri"/>
          <w:b/>
          <w:i w:val="0"/>
          <w:color w:val="0A0A0A"/>
          <w:sz w:val="22"/>
        </w:rPr>
        <w:t>Customer Experience Intern</w:t>
      </w:r>
      <w:r>
        <w:t xml:space="preserve">  </w:t>
      </w:r>
      <w:r>
        <w:rPr>
          <w:rFonts w:ascii="Calibri" w:hAnsi="Calibri"/>
          <w:b w:val="0"/>
          <w:i/>
          <w:color w:val="555566"/>
          <w:sz w:val="18"/>
        </w:rPr>
        <w:t>Feb – Oct 2019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5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CX improvement initiatives</w:t>
            </w:r>
          </w:p>
        </w:tc>
        <w:tc>
          <w:tcPr>
            <w:tcW w:type="dxa" w:w="4703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  <w:shd w:val="clear" w:color="auto" w:fill="F5F5F8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A0A0A"/>
                <w:sz w:val="22"/>
              </w:rPr>
              <w:t>Retail &amp; Wholesale</w:t>
            </w:r>
          </w:p>
          <w:p>
            <w:pPr>
              <w:spacing w:before="20" w:after="0"/>
            </w:pPr>
            <w:r>
              <w:rPr>
                <w:rFonts w:ascii="Calibri" w:hAnsi="Calibri"/>
                <w:b w:val="0"/>
                <w:i w:val="0"/>
                <w:color w:val="555566"/>
                <w:sz w:val="16"/>
              </w:rPr>
              <w:t>Customer segments</w:t>
            </w:r>
          </w:p>
        </w:tc>
      </w:tr>
    </w:tbl>
    <w:p/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Designed </w:t>
      </w:r>
      <w:r>
        <w:rPr>
          <w:rFonts w:ascii="Calibri" w:hAnsi="Calibri"/>
          <w:b/>
          <w:color w:val="0A0A0A"/>
          <w:sz w:val="20"/>
        </w:rPr>
        <w:t>loyalty metrics</w:t>
      </w:r>
      <w:r>
        <w:rPr>
          <w:rFonts w:ascii="Calibri" w:hAnsi="Calibri"/>
          <w:b w:val="0"/>
          <w:color w:val="222233"/>
          <w:sz w:val="20"/>
        </w:rPr>
        <w:t xml:space="preserve"> for retail and wholesale segments, assessing campaign impact on the bank's customer base.</w:t>
      </w:r>
    </w:p>
    <w:p>
      <w:pPr>
        <w:pStyle w:val="ListBullet"/>
        <w:spacing w:before="20" w:after="20"/>
        <w:ind w:left="283"/>
      </w:pPr>
      <w:r>
        <w:rPr>
          <w:rFonts w:ascii="Calibri" w:hAnsi="Calibri"/>
          <w:b w:val="0"/>
          <w:color w:val="222233"/>
          <w:sz w:val="20"/>
        </w:rPr>
        <w:t xml:space="preserve">Active participation in </w:t>
      </w:r>
      <w:r>
        <w:rPr>
          <w:rFonts w:ascii="Calibri" w:hAnsi="Calibri"/>
          <w:b/>
          <w:color w:val="0A0A0A"/>
          <w:sz w:val="20"/>
        </w:rPr>
        <w:t>5 successful initiatives</w:t>
      </w:r>
      <w:r>
        <w:rPr>
          <w:rFonts w:ascii="Calibri" w:hAnsi="Calibri"/>
          <w:b w:val="0"/>
          <w:color w:val="222233"/>
          <w:sz w:val="20"/>
        </w:rPr>
        <w:t xml:space="preserve"> to improve customer experience.</w:t>
      </w:r>
    </w:p>
    <w:p>
      <w:pPr>
        <w:spacing w:before="28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555566"/>
          <w:sz w:val="16"/>
        </w:rPr>
        <w:t>EDUCATION</w:t>
      </w:r>
    </w:p>
    <w:p>
      <w:pPr>
        <w:spacing w:before="120" w:after="20"/>
      </w:pPr>
      <w:r>
        <w:rPr>
          <w:rFonts w:ascii="Calibri" w:hAnsi="Calibri"/>
          <w:b/>
          <w:i w:val="0"/>
          <w:color w:val="0A0A0A"/>
          <w:sz w:val="22"/>
        </w:rPr>
        <w:t>Master in Management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66"/>
          <w:sz w:val="18"/>
        </w:rPr>
        <w:t>Pacífico Business School · Lima, Peru  ·  Postgraduate · 2024</w:t>
      </w:r>
    </w:p>
    <w:p>
      <w:pPr>
        <w:spacing w:before="120" w:after="20"/>
      </w:pPr>
      <w:r>
        <w:rPr>
          <w:rFonts w:ascii="Calibri" w:hAnsi="Calibri"/>
          <w:b/>
          <w:i w:val="0"/>
          <w:color w:val="0A0A0A"/>
          <w:sz w:val="22"/>
        </w:rPr>
        <w:t>Bachelor in Marketing</w:t>
      </w:r>
    </w:p>
    <w:p>
      <w:pPr>
        <w:spacing w:before="0" w:after="40"/>
      </w:pPr>
      <w:r>
        <w:rPr>
          <w:rFonts w:ascii="Calibri" w:hAnsi="Calibri"/>
          <w:b w:val="0"/>
          <w:i w:val="0"/>
          <w:color w:val="555566"/>
          <w:sz w:val="18"/>
        </w:rPr>
        <w:t>Universidad del Pacífico · Lima, Peru  ·  Undergraduate · 2021</w:t>
      </w:r>
    </w:p>
    <w:p>
      <w:pPr>
        <w:spacing w:before="28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555566"/>
          <w:sz w:val="16"/>
        </w:rPr>
        <w:t>CERTIFICATIONS</w:t>
      </w:r>
    </w:p>
    <w:p>
      <w:pPr>
        <w:spacing w:before="60" w:after="20"/>
      </w:pPr>
      <w:r>
        <w:rPr>
          <w:rFonts w:ascii="Calibri" w:hAnsi="Calibri"/>
          <w:b/>
          <w:i w:val="0"/>
          <w:color w:val="16A34A"/>
          <w:sz w:val="18"/>
        </w:rPr>
        <w:t xml:space="preserve">[✓]  </w:t>
      </w:r>
      <w:r>
        <w:rPr>
          <w:rFonts w:ascii="Calibri" w:hAnsi="Calibri"/>
          <w:b/>
          <w:i w:val="0"/>
          <w:color w:val="0A0A0A"/>
          <w:sz w:val="20"/>
        </w:rPr>
        <w:t>Data Specialist</w:t>
      </w:r>
      <w:r>
        <w:rPr>
          <w:rFonts w:ascii="Calibri" w:hAnsi="Calibri"/>
          <w:b w:val="0"/>
          <w:i w:val="0"/>
          <w:color w:val="555566"/>
          <w:sz w:val="18"/>
        </w:rPr>
        <w:t xml:space="preserve">  —  BBVA University · 2024</w:t>
      </w:r>
    </w:p>
    <w:p>
      <w:pPr>
        <w:spacing w:before="60" w:after="20"/>
      </w:pPr>
      <w:r>
        <w:rPr>
          <w:rFonts w:ascii="Calibri" w:hAnsi="Calibri"/>
          <w:b/>
          <w:i w:val="0"/>
          <w:color w:val="16A34A"/>
          <w:sz w:val="18"/>
        </w:rPr>
        <w:t xml:space="preserve">[✓]  </w:t>
      </w:r>
      <w:r>
        <w:rPr>
          <w:rFonts w:ascii="Calibri" w:hAnsi="Calibri"/>
          <w:b/>
          <w:i w:val="0"/>
          <w:color w:val="0A0A0A"/>
          <w:sz w:val="20"/>
        </w:rPr>
        <w:t>SQL for Data Science</w:t>
      </w:r>
      <w:r>
        <w:rPr>
          <w:rFonts w:ascii="Calibri" w:hAnsi="Calibri"/>
          <w:b w:val="0"/>
          <w:i w:val="0"/>
          <w:color w:val="555566"/>
          <w:sz w:val="18"/>
        </w:rPr>
        <w:t xml:space="preserve">  —  UCLA Extension · 2022</w:t>
      </w:r>
    </w:p>
    <w:p>
      <w:pPr>
        <w:spacing w:before="60" w:after="20"/>
      </w:pPr>
      <w:r>
        <w:rPr>
          <w:rFonts w:ascii="Calibri" w:hAnsi="Calibri"/>
          <w:b/>
          <w:i w:val="0"/>
          <w:color w:val="16A34A"/>
          <w:sz w:val="18"/>
        </w:rPr>
        <w:t xml:space="preserve">[✓]  </w:t>
      </w:r>
      <w:r>
        <w:rPr>
          <w:rFonts w:ascii="Calibri" w:hAnsi="Calibri"/>
          <w:b/>
          <w:i w:val="0"/>
          <w:color w:val="0A0A0A"/>
          <w:sz w:val="20"/>
        </w:rPr>
        <w:t>Professional Certificate in Data Science</w:t>
      </w:r>
      <w:r>
        <w:rPr>
          <w:rFonts w:ascii="Calibri" w:hAnsi="Calibri"/>
          <w:b w:val="0"/>
          <w:i w:val="0"/>
          <w:color w:val="555566"/>
          <w:sz w:val="18"/>
        </w:rPr>
        <w:t xml:space="preserve">  —  IBM · 2020</w:t>
      </w:r>
    </w:p>
    <w:p>
      <w:pPr>
        <w:spacing w:before="60" w:after="20"/>
      </w:pPr>
      <w:r>
        <w:rPr>
          <w:rFonts w:ascii="Calibri" w:hAnsi="Calibri"/>
          <w:b/>
          <w:i w:val="0"/>
          <w:color w:val="16A34A"/>
          <w:sz w:val="18"/>
        </w:rPr>
        <w:t xml:space="preserve">[✓]  </w:t>
      </w:r>
      <w:r>
        <w:rPr>
          <w:rFonts w:ascii="Calibri" w:hAnsi="Calibri"/>
          <w:b/>
          <w:i w:val="0"/>
          <w:color w:val="0A0A0A"/>
          <w:sz w:val="20"/>
        </w:rPr>
        <w:t>Big Data &amp; Cloud Analytics</w:t>
      </w:r>
      <w:r>
        <w:rPr>
          <w:rFonts w:ascii="Calibri" w:hAnsi="Calibri"/>
          <w:b w:val="0"/>
          <w:i w:val="0"/>
          <w:color w:val="555566"/>
          <w:sz w:val="18"/>
        </w:rPr>
        <w:t xml:space="preserve">  —  Kedge Business School · 2020</w:t>
      </w:r>
    </w:p>
    <w:p>
      <w:pPr>
        <w:spacing w:before="280" w:after="80"/>
        <w:pBdr>
          <w:bottom w:val="single" w:sz="4" w:space="4" w:color="DDDDDD"/>
        </w:pBdr>
      </w:pPr>
      <w:r>
        <w:rPr>
          <w:rFonts w:ascii="Calibri" w:hAnsi="Calibri"/>
          <w:b/>
          <w:i w:val="0"/>
          <w:color w:val="555566"/>
          <w:sz w:val="16"/>
        </w:rPr>
        <w:t>LANGUAGES</w:t>
      </w:r>
    </w:p>
    <w:p>
      <w:pPr>
        <w:spacing w:before="80" w:after="20"/>
      </w:pPr>
      <w:r>
        <w:rPr>
          <w:rFonts w:ascii="Calibri" w:hAnsi="Calibri"/>
          <w:b/>
          <w:i w:val="0"/>
          <w:color w:val="0A0A0A"/>
          <w:sz w:val="20"/>
        </w:rPr>
        <w:t>Spanish  —  Native</w:t>
      </w:r>
    </w:p>
    <w:p>
      <w:pPr>
        <w:spacing w:before="80" w:after="20"/>
      </w:pPr>
      <w:r>
        <w:rPr>
          <w:rFonts w:ascii="Calibri" w:hAnsi="Calibri"/>
          <w:b/>
          <w:i w:val="0"/>
          <w:color w:val="0A0A0A"/>
          <w:sz w:val="20"/>
        </w:rPr>
        <w:t>English  —  Professional</w:t>
      </w:r>
      <w:r>
        <w:rPr>
          <w:rFonts w:ascii="Calibri" w:hAnsi="Calibri"/>
          <w:b w:val="0"/>
          <w:i/>
          <w:color w:val="555566"/>
          <w:sz w:val="18"/>
        </w:rPr>
        <w:t xml:space="preserve">  (IELTS Academic Band 7.0)</w:t>
      </w:r>
    </w:p>
    <w:p>
      <w:pPr>
        <w:spacing w:before="80" w:after="20"/>
      </w:pPr>
      <w:r>
        <w:rPr>
          <w:rFonts w:ascii="Calibri" w:hAnsi="Calibri"/>
          <w:b/>
          <w:i w:val="0"/>
          <w:color w:val="0A0A0A"/>
          <w:sz w:val="20"/>
        </w:rPr>
        <w:t>Italian  —  Conversational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