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A0A0A"/>
          <w:sz w:val="52"/>
        </w:rPr>
        <w:t>Carlo Rondón</w:t>
      </w:r>
    </w:p>
    <w:p>
      <w:pPr>
        <w:spacing w:after="120"/>
      </w:pPr>
      <w:r>
        <w:rPr>
          <w:rFonts w:ascii="Calibri" w:hAnsi="Calibri"/>
          <w:b w:val="0"/>
          <w:i/>
          <w:color w:val="555566"/>
          <w:sz w:val="24"/>
        </w:rPr>
        <w:t>Data · Growth · Micro SaaS · AI</w:t>
      </w:r>
    </w:p>
    <w:p>
      <w:pPr>
        <w:spacing w:after="40"/>
      </w:pPr>
      <w:r>
        <w:rPr>
          <w:rFonts w:ascii="Calibri" w:hAnsi="Calibri"/>
          <w:b w:val="0"/>
          <w:i w:val="0"/>
          <w:color w:val="555566"/>
          <w:sz w:val="18"/>
        </w:rPr>
        <w:t>Lima, Peru  ·  carlorndn@gmail.com  ·  +51936735897  ·  linkedin.com/in/carlo-rondon</w:t>
      </w:r>
    </w:p>
    <w:p>
      <w:pPr>
        <w:spacing w:before="280" w:after="80"/>
        <w:pBdr>
          <w:bottom w:val="single" w:sz="4" w:space="4" w:color="DDDDDD"/>
        </w:pBdr>
      </w:pPr>
      <w:r>
        <w:rPr>
          <w:rFonts w:ascii="Calibri" w:hAnsi="Calibri"/>
          <w:b/>
          <w:i w:val="0"/>
          <w:color w:val="555566"/>
          <w:sz w:val="16"/>
        </w:rPr>
        <w:t>PROFILE</w:t>
      </w:r>
    </w:p>
    <w:p>
      <w:pPr>
        <w:spacing w:before="0" w:after="60"/>
      </w:pPr>
      <w:r>
        <w:rPr>
          <w:rFonts w:ascii="Calibri" w:hAnsi="Calibri"/>
          <w:b w:val="0"/>
          <w:color w:val="222233"/>
          <w:sz w:val="20"/>
        </w:rPr>
        <w:t>I'm a technical profile operating inside the financial world. Currently, as a Corporate &amp; Large-Enterprise Banking Executive at BBVA Peru, I design data architectures and cloud ETL pipelines, integrate and sell banking connectivity APIs that link corporate clients' systems to the bank's core, and automate processes with artificial intelligence. My edge isn't just understanding the business —I do, with over six years across banking, fintech and consulting, a postgraduate degree in management and certifications in data science and data engineering on AWS— but mastering the stack that makes it run: SQL, Python, cloud, APIs and LLMs. In parallel I build micro-SaaS and AI-powered tools, shipping scalable digital solutions in markets where financial technology still has everything left to build.</w:t>
      </w:r>
    </w:p>
    <w:p>
      <w:pPr>
        <w:spacing w:before="280" w:after="80"/>
        <w:pBdr>
          <w:bottom w:val="single" w:sz="4" w:space="4" w:color="DDDDDD"/>
        </w:pBdr>
      </w:pPr>
      <w:r>
        <w:rPr>
          <w:rFonts w:ascii="Calibri" w:hAnsi="Calibri"/>
          <w:b/>
          <w:i w:val="0"/>
          <w:color w:val="555566"/>
          <w:sz w:val="16"/>
        </w:rPr>
        <w:t>PROFESSIONAL EXPERIENCE</w:t>
      </w:r>
    </w:p>
    <w:p>
      <w:pPr>
        <w:spacing w:before="200" w:after="40"/>
      </w:pPr>
      <w:r>
        <w:rPr>
          <w:rFonts w:ascii="Calibri" w:hAnsi="Calibri"/>
          <w:b/>
          <w:i w:val="0"/>
          <w:color w:val="0A0A0A"/>
          <w:sz w:val="24"/>
        </w:rPr>
        <w:t>BBVA Peru</w:t>
      </w:r>
      <w:r>
        <w:rPr>
          <w:rFonts w:ascii="Calibri" w:hAnsi="Calibri"/>
          <w:b w:val="0"/>
          <w:i w:val="0"/>
          <w:color w:val="555566"/>
          <w:sz w:val="18"/>
        </w:rPr>
        <w:t xml:space="preserve">   May 2022 – Present  ·  3+ years</w:t>
      </w:r>
    </w:p>
    <w:p>
      <w:pPr>
        <w:spacing w:before="160" w:after="40"/>
      </w:pPr>
      <w:r>
        <w:rPr>
          <w:rFonts w:ascii="Calibri" w:hAnsi="Calibri"/>
          <w:b/>
          <w:i w:val="0"/>
          <w:color w:val="0A0A0A"/>
          <w:sz w:val="22"/>
        </w:rPr>
        <w:t>Cash Management Executive</w:t>
      </w:r>
      <w:r>
        <w:t xml:space="preserve">  </w:t>
      </w:r>
      <w:r>
        <w:rPr>
          <w:rFonts w:ascii="Calibri" w:hAnsi="Calibri"/>
          <w:b w:val="0"/>
          <w:i/>
          <w:color w:val="555566"/>
          <w:sz w:val="18"/>
        </w:rPr>
        <w:t>Corporate &amp; Large-Enterprise Banking</w:t>
      </w:r>
    </w:p>
    <w:p>
      <w:pPr>
        <w:spacing w:before="0" w:after="80"/>
      </w:pPr>
      <w:r>
        <w:rPr>
          <w:rFonts w:ascii="Calibri" w:hAnsi="Calibri"/>
          <w:b w:val="0"/>
          <w:i w:val="0"/>
          <w:color w:val="555566"/>
          <w:sz w:val="18"/>
        </w:rPr>
        <w:t>Mar 2026 – Present</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APIs</w:t>
            </w:r>
          </w:p>
          <w:p>
            <w:pPr>
              <w:spacing w:before="20" w:after="0"/>
            </w:pPr>
            <w:r>
              <w:rPr>
                <w:rFonts w:ascii="Calibri" w:hAnsi="Calibri"/>
                <w:b w:val="0"/>
                <w:i w:val="0"/>
                <w:color w:val="555566"/>
                <w:sz w:val="16"/>
              </w:rPr>
              <w:t>Banking interconnection</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Real-time</w:t>
            </w:r>
          </w:p>
          <w:p>
            <w:pPr>
              <w:spacing w:before="20" w:after="0"/>
            </w:pPr>
            <w:r>
              <w:rPr>
                <w:rFonts w:ascii="Calibri" w:hAnsi="Calibri"/>
                <w:b w:val="0"/>
                <w:i w:val="0"/>
                <w:color w:val="555566"/>
                <w:sz w:val="16"/>
              </w:rPr>
              <w:t>Payments, collections &amp; reconciliation</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C-level</w:t>
            </w:r>
          </w:p>
          <w:p>
            <w:pPr>
              <w:spacing w:before="20" w:after="0"/>
            </w:pPr>
            <w:r>
              <w:rPr>
                <w:rFonts w:ascii="Calibri" w:hAnsi="Calibri"/>
                <w:b w:val="0"/>
                <w:i w:val="0"/>
                <w:color w:val="555566"/>
                <w:sz w:val="16"/>
              </w:rPr>
              <w:t>Level of engagement</w:t>
            </w:r>
          </w:p>
        </w:tc>
      </w:tr>
    </w:tbl>
    <w:p/>
    <w:p>
      <w:pPr>
        <w:pStyle w:val="ListBullet"/>
        <w:spacing w:before="20" w:after="20"/>
        <w:ind w:left="283"/>
      </w:pPr>
      <w:r>
        <w:rPr>
          <w:rFonts w:ascii="Calibri" w:hAnsi="Calibri"/>
          <w:b w:val="0"/>
          <w:color w:val="222233"/>
          <w:sz w:val="20"/>
        </w:rPr>
        <w:t xml:space="preserve">Sale and implementation of </w:t>
      </w:r>
      <w:r>
        <w:rPr>
          <w:rFonts w:ascii="Calibri" w:hAnsi="Calibri"/>
          <w:b/>
          <w:color w:val="0A0A0A"/>
          <w:sz w:val="20"/>
        </w:rPr>
        <w:t>banking connectivity APIs</w:t>
      </w:r>
      <w:r>
        <w:rPr>
          <w:rFonts w:ascii="Calibri" w:hAnsi="Calibri"/>
          <w:b w:val="0"/>
          <w:color w:val="222233"/>
          <w:sz w:val="20"/>
        </w:rPr>
        <w:t xml:space="preserve"> (host-to-host, ERP-to-bank integration and open banking) that interconnect corporate clients' treasury systems with the bank's core, automating payments, collections and reconciliation in real time.</w:t>
      </w:r>
    </w:p>
    <w:p>
      <w:pPr>
        <w:pStyle w:val="ListBullet"/>
        <w:spacing w:before="20" w:after="20"/>
        <w:ind w:left="283"/>
      </w:pPr>
      <w:r>
        <w:rPr>
          <w:rFonts w:ascii="Calibri" w:hAnsi="Calibri"/>
          <w:b w:val="0"/>
          <w:color w:val="222233"/>
          <w:sz w:val="20"/>
        </w:rPr>
        <w:t xml:space="preserve">Design and construction of </w:t>
      </w:r>
      <w:r>
        <w:rPr>
          <w:rFonts w:ascii="Calibri" w:hAnsi="Calibri"/>
          <w:b/>
          <w:color w:val="0A0A0A"/>
          <w:sz w:val="20"/>
        </w:rPr>
        <w:t>financial models</w:t>
      </w:r>
      <w:r>
        <w:rPr>
          <w:rFonts w:ascii="Calibri" w:hAnsi="Calibri"/>
          <w:b w:val="0"/>
          <w:color w:val="222233"/>
          <w:sz w:val="20"/>
        </w:rPr>
        <w:t xml:space="preserve"> for the corporate-client portfolio, projecting ROI scenarios and cash in/out product placement that drive digitalization and transactional revenue.</w:t>
      </w:r>
    </w:p>
    <w:p>
      <w:pPr>
        <w:pStyle w:val="ListBullet"/>
        <w:spacing w:before="20" w:after="20"/>
        <w:ind w:left="283"/>
      </w:pPr>
      <w:r>
        <w:rPr>
          <w:rFonts w:ascii="Calibri" w:hAnsi="Calibri"/>
          <w:b w:val="0"/>
          <w:color w:val="222233"/>
          <w:sz w:val="20"/>
        </w:rPr>
        <w:t>Executive relationship management with Peru's leading corporations, driving the adoption of digital and connectivity solutions before executive committees.</w:t>
      </w:r>
    </w:p>
    <w:p>
      <w:pPr>
        <w:spacing w:before="160" w:after="40"/>
      </w:pPr>
      <w:r>
        <w:rPr>
          <w:rFonts w:ascii="Calibri" w:hAnsi="Calibri"/>
          <w:b/>
          <w:i w:val="0"/>
          <w:color w:val="0A0A0A"/>
          <w:sz w:val="22"/>
        </w:rPr>
        <w:t>Payments &amp; Loyalty Associate</w:t>
      </w:r>
      <w:r>
        <w:t xml:space="preserve">  </w:t>
      </w:r>
      <w:r>
        <w:rPr>
          <w:rFonts w:ascii="Calibri" w:hAnsi="Calibri"/>
          <w:b w:val="0"/>
          <w:i/>
          <w:color w:val="555566"/>
          <w:sz w:val="18"/>
        </w:rPr>
        <w:t>Dec 2025 – Mar 2026</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+20,000</w:t>
            </w:r>
          </w:p>
          <w:p>
            <w:pPr>
              <w:spacing w:before="20" w:after="0"/>
            </w:pPr>
            <w:r>
              <w:rPr>
                <w:rFonts w:ascii="Calibri" w:hAnsi="Calibri"/>
                <w:b w:val="0"/>
                <w:i w:val="0"/>
                <w:color w:val="555566"/>
                <w:sz w:val="16"/>
              </w:rPr>
              <w:t>Active clients</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Exponential</w:t>
            </w:r>
          </w:p>
          <w:p>
            <w:pPr>
              <w:spacing w:before="20" w:after="0"/>
            </w:pPr>
            <w:r>
              <w:rPr>
                <w:rFonts w:ascii="Calibri" w:hAnsi="Calibri"/>
                <w:b w:val="0"/>
                <w:i w:val="0"/>
                <w:color w:val="555566"/>
                <w:sz w:val="16"/>
              </w:rPr>
              <w:t>Cash-in growth</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Elasticity</w:t>
            </w:r>
          </w:p>
          <w:p>
            <w:pPr>
              <w:spacing w:before="20" w:after="0"/>
            </w:pPr>
            <w:r>
              <w:rPr>
                <w:rFonts w:ascii="Calibri" w:hAnsi="Calibri"/>
                <w:b w:val="0"/>
                <w:i w:val="0"/>
                <w:color w:val="555566"/>
                <w:sz w:val="16"/>
              </w:rPr>
              <w:t>Pricing analysis</w:t>
            </w:r>
          </w:p>
        </w:tc>
      </w:tr>
    </w:tbl>
    <w:p/>
    <w:p>
      <w:pPr>
        <w:pStyle w:val="ListBullet"/>
        <w:spacing w:before="20" w:after="20"/>
        <w:ind w:left="283"/>
      </w:pPr>
      <w:r>
        <w:rPr>
          <w:rFonts w:ascii="Calibri" w:hAnsi="Calibri"/>
          <w:b w:val="0"/>
          <w:color w:val="222233"/>
          <w:sz w:val="20"/>
        </w:rPr>
        <w:t xml:space="preserve">Optimization of the payments business </w:t>
      </w:r>
      <w:r>
        <w:rPr>
          <w:rFonts w:ascii="Calibri" w:hAnsi="Calibri"/>
          <w:b/>
          <w:color w:val="0A0A0A"/>
          <w:sz w:val="20"/>
        </w:rPr>
        <w:t>pricing and promotions model</w:t>
      </w:r>
      <w:r>
        <w:rPr>
          <w:rFonts w:ascii="Calibri" w:hAnsi="Calibri"/>
          <w:b w:val="0"/>
          <w:color w:val="222233"/>
          <w:sz w:val="20"/>
        </w:rPr>
        <w:t xml:space="preserve"> through demand-elasticity analysis and advanced customer segmentation, maximizing conversion and activation.</w:t>
      </w:r>
    </w:p>
    <w:p>
      <w:pPr>
        <w:spacing w:before="160" w:after="40"/>
      </w:pPr>
      <w:r>
        <w:rPr>
          <w:rFonts w:ascii="Calibri" w:hAnsi="Calibri"/>
          <w:b/>
          <w:i w:val="0"/>
          <w:color w:val="0A0A0A"/>
          <w:sz w:val="22"/>
        </w:rPr>
        <w:t>Senior Data &amp; Commercial Analyst</w:t>
      </w:r>
      <w:r>
        <w:t xml:space="preserve">  </w:t>
      </w:r>
      <w:r>
        <w:rPr>
          <w:rFonts w:ascii="Calibri" w:hAnsi="Calibri"/>
          <w:b w:val="0"/>
          <w:i/>
          <w:color w:val="555566"/>
          <w:sz w:val="18"/>
        </w:rPr>
        <w:t>Openpay</w:t>
      </w:r>
    </w:p>
    <w:p>
      <w:pPr>
        <w:spacing w:before="0" w:after="80"/>
      </w:pPr>
      <w:r>
        <w:rPr>
          <w:rFonts w:ascii="Calibri" w:hAnsi="Calibri"/>
          <w:b w:val="0"/>
          <w:i w:val="0"/>
          <w:color w:val="555566"/>
          <w:sz w:val="18"/>
        </w:rPr>
        <w:t>Mar 2025 – Dec 2025</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12 months</w:t>
            </w:r>
          </w:p>
          <w:p>
            <w:pPr>
              <w:spacing w:before="20" w:after="0"/>
            </w:pPr>
            <w:r>
              <w:rPr>
                <w:rFonts w:ascii="Calibri" w:hAnsi="Calibri"/>
                <w:b w:val="0"/>
                <w:i w:val="0"/>
                <w:color w:val="555566"/>
                <w:sz w:val="16"/>
              </w:rPr>
              <w:t>Rollout to 3 areas</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In production</w:t>
            </w:r>
          </w:p>
          <w:p>
            <w:pPr>
              <w:spacing w:before="20" w:after="0"/>
            </w:pPr>
            <w:r>
              <w:rPr>
                <w:rFonts w:ascii="Calibri" w:hAnsi="Calibri"/>
                <w:b w:val="0"/>
                <w:i w:val="0"/>
                <w:color w:val="555566"/>
                <w:sz w:val="16"/>
              </w:rPr>
              <w:t>Model still live today</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International HQ</w:t>
            </w:r>
          </w:p>
          <w:p>
            <w:pPr>
              <w:spacing w:before="20" w:after="0"/>
            </w:pPr>
            <w:r>
              <w:rPr>
                <w:rFonts w:ascii="Calibri" w:hAnsi="Calibri"/>
                <w:b w:val="0"/>
                <w:i w:val="0"/>
                <w:color w:val="555566"/>
                <w:sz w:val="16"/>
              </w:rPr>
              <w:t>Model adoption</w:t>
            </w:r>
          </w:p>
        </w:tc>
      </w:tr>
    </w:tbl>
    <w:p/>
    <w:p>
      <w:pPr>
        <w:pStyle w:val="ListBullet"/>
        <w:spacing w:before="20" w:after="20"/>
        <w:ind w:left="283"/>
      </w:pPr>
      <w:r>
        <w:rPr>
          <w:rFonts w:ascii="Calibri" w:hAnsi="Calibri"/>
          <w:b w:val="0"/>
          <w:color w:val="222233"/>
          <w:sz w:val="20"/>
        </w:rPr>
        <w:t xml:space="preserve">Rolled the framework out over 12 months to </w:t>
      </w:r>
      <w:r>
        <w:rPr>
          <w:rFonts w:ascii="Calibri" w:hAnsi="Calibri"/>
          <w:b/>
          <w:color w:val="0A0A0A"/>
          <w:sz w:val="20"/>
        </w:rPr>
        <w:t>Operations</w:t>
      </w:r>
      <w:r>
        <w:rPr>
          <w:rFonts w:ascii="Calibri" w:hAnsi="Calibri"/>
          <w:b w:val="0"/>
          <w:color w:val="222233"/>
          <w:sz w:val="20"/>
        </w:rPr>
        <w:t xml:space="preserve"> (post-sale prioritization by transaction value and growth projection), </w:t>
      </w:r>
      <w:r>
        <w:rPr>
          <w:rFonts w:ascii="Calibri" w:hAnsi="Calibri"/>
          <w:b/>
          <w:color w:val="0A0A0A"/>
          <w:sz w:val="20"/>
        </w:rPr>
        <w:t>Marketing</w:t>
      </w:r>
      <w:r>
        <w:rPr>
          <w:rFonts w:ascii="Calibri" w:hAnsi="Calibri"/>
          <w:b w:val="0"/>
          <w:color w:val="222233"/>
          <w:sz w:val="20"/>
        </w:rPr>
        <w:t xml:space="preserve"> (segment focus on e-commerce) and </w:t>
      </w:r>
      <w:r>
        <w:rPr>
          <w:rFonts w:ascii="Calibri" w:hAnsi="Calibri"/>
          <w:b/>
          <w:color w:val="0A0A0A"/>
          <w:sz w:val="20"/>
        </w:rPr>
        <w:t>Fraud</w:t>
      </w:r>
      <w:r>
        <w:rPr>
          <w:rFonts w:ascii="Calibri" w:hAnsi="Calibri"/>
          <w:b w:val="0"/>
          <w:color w:val="222233"/>
          <w:sz w:val="20"/>
        </w:rPr>
        <w:t xml:space="preserve"> (commercial signals the detection engine hadn't mapped yet), with Peru's country manager as executive sponsor.</w:t>
      </w:r>
    </w:p>
    <w:p>
      <w:pPr>
        <w:pStyle w:val="ListBullet"/>
        <w:spacing w:before="20" w:after="20"/>
        <w:ind w:left="283"/>
      </w:pPr>
      <w:r>
        <w:rPr>
          <w:rFonts w:ascii="Calibri" w:hAnsi="Calibri"/>
          <w:b w:val="0"/>
          <w:color w:val="222233"/>
          <w:sz w:val="20"/>
        </w:rPr>
        <w:t xml:space="preserve">The model </w:t>
      </w:r>
      <w:r>
        <w:rPr>
          <w:rFonts w:ascii="Calibri" w:hAnsi="Calibri"/>
          <w:b/>
          <w:color w:val="0A0A0A"/>
          <w:sz w:val="20"/>
        </w:rPr>
        <w:t>remains in production today</w:t>
      </w:r>
      <w:r>
        <w:rPr>
          <w:rFonts w:ascii="Calibri" w:hAnsi="Calibri"/>
          <w:b w:val="0"/>
          <w:color w:val="222233"/>
          <w:sz w:val="20"/>
        </w:rPr>
        <w:t xml:space="preserve"> and was adopted by the international HQ in Mexico, whose fraud team requested the commercial dataset.</w:t>
      </w:r>
    </w:p>
    <w:p>
      <w:pPr>
        <w:spacing w:before="160" w:after="40"/>
      </w:pPr>
      <w:r>
        <w:rPr>
          <w:rFonts w:ascii="Calibri" w:hAnsi="Calibri"/>
          <w:b/>
          <w:i w:val="0"/>
          <w:color w:val="0A0A0A"/>
          <w:sz w:val="22"/>
        </w:rPr>
        <w:t>Data &amp; Commercial Analyst</w:t>
      </w:r>
      <w:r>
        <w:t xml:space="preserve">  </w:t>
      </w:r>
      <w:r>
        <w:rPr>
          <w:rFonts w:ascii="Calibri" w:hAnsi="Calibri"/>
          <w:b w:val="0"/>
          <w:i/>
          <w:color w:val="555566"/>
          <w:sz w:val="18"/>
        </w:rPr>
        <w:t>Openpay</w:t>
      </w:r>
    </w:p>
    <w:p>
      <w:pPr>
        <w:spacing w:before="0" w:after="80"/>
      </w:pPr>
      <w:r>
        <w:rPr>
          <w:rFonts w:ascii="Calibri" w:hAnsi="Calibri"/>
          <w:b w:val="0"/>
          <w:i w:val="0"/>
          <w:color w:val="555566"/>
          <w:sz w:val="18"/>
        </w:rPr>
        <w:t>May 2022 – Mar 2025</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&lt;100 → 40K+</w:t>
            </w:r>
          </w:p>
          <w:p>
            <w:pPr>
              <w:spacing w:before="20" w:after="0"/>
            </w:pPr>
            <w:r>
              <w:rPr>
                <w:rFonts w:ascii="Calibri" w:hAnsi="Calibri"/>
                <w:b w:val="0"/>
                <w:i w:val="0"/>
                <w:color w:val="555566"/>
                <w:sz w:val="16"/>
              </w:rPr>
              <w:t>Merchants as it scaled</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2% → 8%</w:t>
            </w:r>
          </w:p>
          <w:p>
            <w:pPr>
              <w:spacing w:before="20" w:after="0"/>
            </w:pPr>
            <w:r>
              <w:rPr>
                <w:rFonts w:ascii="Calibri" w:hAnsi="Calibri"/>
                <w:b w:val="0"/>
                <w:i w:val="0"/>
                <w:color w:val="555566"/>
                <w:sz w:val="16"/>
              </w:rPr>
              <w:t>Lead conversion</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19% → 42%</w:t>
            </w:r>
          </w:p>
          <w:p>
            <w:pPr>
              <w:spacing w:before="20" w:after="0"/>
            </w:pPr>
            <w:r>
              <w:rPr>
                <w:rFonts w:ascii="Calibri" w:hAnsi="Calibri"/>
                <w:b w:val="0"/>
                <w:i w:val="0"/>
                <w:color w:val="555566"/>
                <w:sz w:val="16"/>
              </w:rPr>
              <w:t>Junk-lead rejection</w:t>
            </w:r>
          </w:p>
        </w:tc>
      </w:tr>
    </w:tbl>
    <w:p/>
    <w:p>
      <w:pPr>
        <w:pStyle w:val="ListBullet"/>
        <w:spacing w:before="20" w:after="20"/>
        <w:ind w:left="283"/>
      </w:pPr>
      <w:r>
        <w:rPr>
          <w:rFonts w:ascii="Calibri" w:hAnsi="Calibri"/>
          <w:b w:val="0"/>
          <w:color w:val="222233"/>
          <w:sz w:val="20"/>
        </w:rPr>
        <w:t xml:space="preserve">Joined a </w:t>
      </w:r>
      <w:r>
        <w:rPr>
          <w:rFonts w:ascii="Calibri" w:hAnsi="Calibri"/>
          <w:b/>
          <w:color w:val="0A0A0A"/>
          <w:sz w:val="20"/>
        </w:rPr>
        <w:t>BBVA payments fintech</w:t>
      </w:r>
      <w:r>
        <w:rPr>
          <w:rFonts w:ascii="Calibri" w:hAnsi="Calibri"/>
          <w:b w:val="0"/>
          <w:color w:val="222233"/>
          <w:sz w:val="20"/>
        </w:rPr>
        <w:t xml:space="preserve"> serving fewer than 100 merchants with no defined data processes: decisions ran on a weekly spreadsheet and a monthly results deck. I built </w:t>
      </w:r>
      <w:r>
        <w:rPr>
          <w:rFonts w:ascii="Calibri" w:hAnsi="Calibri"/>
          <w:b/>
          <w:color w:val="0A0A0A"/>
          <w:sz w:val="20"/>
        </w:rPr>
        <w:t>predictive models and daily-cut reporting</w:t>
      </w:r>
      <w:r>
        <w:rPr>
          <w:rFonts w:ascii="Calibri" w:hAnsi="Calibri"/>
          <w:b w:val="0"/>
          <w:color w:val="222233"/>
          <w:sz w:val="20"/>
        </w:rPr>
        <w:t xml:space="preserve"> that became the decision layer for four teams as the business scaled past 40,000 merchants.</w:t>
      </w:r>
    </w:p>
    <w:p>
      <w:pPr>
        <w:pStyle w:val="ListBullet"/>
        <w:spacing w:before="20" w:after="20"/>
        <w:ind w:left="283"/>
      </w:pPr>
      <w:r>
        <w:rPr>
          <w:rFonts w:ascii="Calibri" w:hAnsi="Calibri"/>
          <w:b w:val="0"/>
          <w:color w:val="222233"/>
          <w:sz w:val="20"/>
        </w:rPr>
        <w:t xml:space="preserve">Lifted </w:t>
      </w:r>
      <w:r>
        <w:rPr>
          <w:rFonts w:ascii="Calibri" w:hAnsi="Calibri"/>
          <w:b/>
          <w:color w:val="0A0A0A"/>
          <w:sz w:val="20"/>
        </w:rPr>
        <w:t>commercial lead conversion from 2% to 8%</w:t>
      </w:r>
      <w:r>
        <w:rPr>
          <w:rFonts w:ascii="Calibri" w:hAnsi="Calibri"/>
          <w:b w:val="0"/>
          <w:color w:val="222233"/>
          <w:sz w:val="20"/>
        </w:rPr>
        <w:t xml:space="preserve"> in under three months by scoring lead quality, raising junk-lead rejection from 19% to 42% and refocusing sales effort on winnable accounts.</w:t>
      </w:r>
    </w:p>
    <w:p>
      <w:pPr>
        <w:spacing w:before="120" w:after="40"/>
      </w:pPr>
      <w:r>
        <w:rPr>
          <w:rFonts w:ascii="Calibri" w:hAnsi="Calibri"/>
          <w:b/>
          <w:i w:val="0"/>
          <w:color w:val="555566"/>
          <w:sz w:val="18"/>
        </w:rPr>
        <w:t xml:space="preserve">Skills: </w:t>
      </w:r>
      <w:r>
        <w:rPr>
          <w:rFonts w:ascii="Calibri" w:hAnsi="Calibri"/>
          <w:b w:val="0"/>
          <w:i w:val="0"/>
          <w:color w:val="555566"/>
          <w:sz w:val="18"/>
        </w:rPr>
        <w:t>SQL  ·  Python  ·  Power BI  ·  AWS  ·  ETL  ·  Financial modeling  ·  Pricing  ·  Salesforce</w:t>
      </w:r>
    </w:p>
    <w:p>
      <w:pPr>
        <w:spacing w:before="200" w:after="40"/>
      </w:pPr>
      <w:r>
        <w:rPr>
          <w:rFonts w:ascii="Calibri" w:hAnsi="Calibri"/>
          <w:b/>
          <w:i w:val="0"/>
          <w:color w:val="0A0A0A"/>
          <w:sz w:val="24"/>
        </w:rPr>
        <w:t>PwC Peru</w:t>
      </w:r>
      <w:r>
        <w:rPr>
          <w:rFonts w:ascii="Calibri" w:hAnsi="Calibri"/>
          <w:b w:val="0"/>
          <w:i w:val="0"/>
          <w:color w:val="555566"/>
          <w:sz w:val="18"/>
        </w:rPr>
        <w:t xml:space="preserve">   September 2019 – May 2022  ·  2y 8m</w:t>
      </w:r>
    </w:p>
    <w:p>
      <w:pPr>
        <w:spacing w:before="160" w:after="40"/>
      </w:pPr>
      <w:r>
        <w:rPr>
          <w:rFonts w:ascii="Calibri" w:hAnsi="Calibri"/>
          <w:b/>
          <w:i w:val="0"/>
          <w:color w:val="0A0A0A"/>
          <w:sz w:val="22"/>
        </w:rPr>
        <w:t>Business Intelligence Associate</w:t>
      </w:r>
      <w:r>
        <w:t xml:space="preserve">  </w:t>
      </w:r>
      <w:r>
        <w:rPr>
          <w:rFonts w:ascii="Calibri" w:hAnsi="Calibri"/>
          <w:b w:val="0"/>
          <w:i/>
          <w:color w:val="555566"/>
          <w:sz w:val="18"/>
        </w:rPr>
        <w:t>Aug 2020 – May 2022</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Top 10%</w:t>
            </w:r>
          </w:p>
          <w:p>
            <w:pPr>
              <w:spacing w:before="20" w:after="0"/>
            </w:pPr>
            <w:r>
              <w:rPr>
                <w:rFonts w:ascii="Calibri" w:hAnsi="Calibri"/>
                <w:b w:val="0"/>
                <w:i w:val="0"/>
                <w:color w:val="555566"/>
                <w:sz w:val="16"/>
              </w:rPr>
              <w:t>Firm performance (2019–2020)</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+10</w:t>
            </w:r>
          </w:p>
          <w:p>
            <w:pPr>
              <w:spacing w:before="20" w:after="0"/>
            </w:pPr>
            <w:r>
              <w:rPr>
                <w:rFonts w:ascii="Calibri" w:hAnsi="Calibri"/>
                <w:b w:val="0"/>
                <w:i w:val="0"/>
                <w:color w:val="555566"/>
                <w:sz w:val="16"/>
              </w:rPr>
              <w:t>Data initiatives led</w:t>
            </w:r>
          </w:p>
        </w:tc>
      </w:tr>
    </w:tbl>
    <w:p/>
    <w:p>
      <w:pPr>
        <w:pStyle w:val="ListBullet"/>
        <w:spacing w:before="20" w:after="20"/>
        <w:ind w:left="283"/>
      </w:pPr>
      <w:r>
        <w:rPr>
          <w:rFonts w:ascii="Calibri" w:hAnsi="Calibri"/>
          <w:b w:val="0"/>
          <w:color w:val="222233"/>
          <w:sz w:val="20"/>
        </w:rPr>
        <w:t xml:space="preserve">Led </w:t>
      </w:r>
      <w:r>
        <w:rPr>
          <w:rFonts w:ascii="Calibri" w:hAnsi="Calibri"/>
          <w:b/>
          <w:color w:val="0A0A0A"/>
          <w:sz w:val="20"/>
        </w:rPr>
        <w:t>10+ commercial and data initiatives</w:t>
      </w:r>
      <w:r>
        <w:rPr>
          <w:rFonts w:ascii="Calibri" w:hAnsi="Calibri"/>
          <w:b w:val="0"/>
          <w:color w:val="222233"/>
          <w:sz w:val="20"/>
        </w:rPr>
        <w:t>, significantly increasing opportunity detection across the firm's service lines.</w:t>
      </w:r>
    </w:p>
    <w:p>
      <w:pPr>
        <w:pStyle w:val="ListBullet"/>
        <w:spacing w:before="20" w:after="20"/>
        <w:ind w:left="283"/>
      </w:pPr>
      <w:r>
        <w:rPr>
          <w:rFonts w:ascii="Calibri" w:hAnsi="Calibri"/>
          <w:b w:val="0"/>
          <w:color w:val="222233"/>
          <w:sz w:val="20"/>
        </w:rPr>
        <w:t xml:space="preserve">Analytical and commercial support to Audit, </w:t>
      </w:r>
      <w:r>
        <w:rPr>
          <w:rFonts w:ascii="Calibri" w:hAnsi="Calibri"/>
          <w:b/>
          <w:color w:val="0A0A0A"/>
          <w:sz w:val="20"/>
        </w:rPr>
        <w:t>PwC Peru's main revenue line</w:t>
      </w:r>
      <w:r>
        <w:rPr>
          <w:rFonts w:ascii="Calibri" w:hAnsi="Calibri"/>
          <w:b w:val="0"/>
          <w:color w:val="222233"/>
          <w:sz w:val="20"/>
        </w:rPr>
        <w:t>, in designing and implementing growth strategies.</w:t>
      </w:r>
    </w:p>
    <w:p>
      <w:pPr>
        <w:pStyle w:val="ListBullet"/>
        <w:spacing w:before="20" w:after="20"/>
        <w:ind w:left="283"/>
      </w:pPr>
      <w:r>
        <w:rPr>
          <w:rFonts w:ascii="Calibri" w:hAnsi="Calibri"/>
          <w:b w:val="0"/>
          <w:color w:val="222233"/>
          <w:sz w:val="20"/>
        </w:rPr>
        <w:t xml:space="preserve">Recognized with </w:t>
      </w:r>
      <w:r>
        <w:rPr>
          <w:rFonts w:ascii="Calibri" w:hAnsi="Calibri"/>
          <w:b/>
          <w:color w:val="0A0A0A"/>
          <w:sz w:val="20"/>
        </w:rPr>
        <w:t>performance above the 90th percentile</w:t>
      </w:r>
      <w:r>
        <w:rPr>
          <w:rFonts w:ascii="Calibri" w:hAnsi="Calibri"/>
          <w:b w:val="0"/>
          <w:color w:val="222233"/>
          <w:sz w:val="20"/>
        </w:rPr>
        <w:t xml:space="preserve"> of the firm for two consecutive years (2019 and 2020).</w:t>
      </w:r>
    </w:p>
    <w:p>
      <w:pPr>
        <w:spacing w:before="160" w:after="40"/>
      </w:pPr>
      <w:r>
        <w:rPr>
          <w:rFonts w:ascii="Calibri" w:hAnsi="Calibri"/>
          <w:b/>
          <w:i w:val="0"/>
          <w:color w:val="0A0A0A"/>
          <w:sz w:val="22"/>
        </w:rPr>
        <w:t>Business Expansion Intern</w:t>
      </w:r>
      <w:r>
        <w:t xml:space="preserve">  </w:t>
      </w:r>
      <w:r>
        <w:rPr>
          <w:rFonts w:ascii="Calibri" w:hAnsi="Calibri"/>
          <w:b w:val="0"/>
          <w:i/>
          <w:color w:val="555566"/>
          <w:sz w:val="18"/>
        </w:rPr>
        <w:t>Sep 2019 – Aug 2020</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+700</w:t>
            </w:r>
          </w:p>
          <w:p>
            <w:pPr>
              <w:spacing w:before="20" w:after="0"/>
            </w:pPr>
            <w:r>
              <w:rPr>
                <w:rFonts w:ascii="Calibri" w:hAnsi="Calibri"/>
                <w:b w:val="0"/>
                <w:i w:val="0"/>
                <w:color w:val="555566"/>
                <w:sz w:val="16"/>
              </w:rPr>
              <w:t>Staff trained</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Nationwide</w:t>
            </w:r>
          </w:p>
          <w:p>
            <w:pPr>
              <w:spacing w:before="20" w:after="0"/>
            </w:pPr>
            <w:r>
              <w:rPr>
                <w:rFonts w:ascii="Calibri" w:hAnsi="Calibri"/>
                <w:b w:val="0"/>
                <w:i w:val="0"/>
                <w:color w:val="555566"/>
                <w:sz w:val="16"/>
              </w:rPr>
              <w:t>Salesforce project scope</w:t>
            </w:r>
          </w:p>
        </w:tc>
      </w:tr>
    </w:tbl>
    <w:p/>
    <w:p>
      <w:pPr>
        <w:pStyle w:val="ListBullet"/>
        <w:spacing w:before="20" w:after="20"/>
        <w:ind w:left="283"/>
      </w:pPr>
      <w:r>
        <w:rPr>
          <w:rFonts w:ascii="Calibri" w:hAnsi="Calibri"/>
          <w:b w:val="0"/>
          <w:color w:val="222233"/>
          <w:sz w:val="20"/>
        </w:rPr>
        <w:t xml:space="preserve">Led the </w:t>
      </w:r>
      <w:r>
        <w:rPr>
          <w:rFonts w:ascii="Calibri" w:hAnsi="Calibri"/>
          <w:b/>
          <w:color w:val="0A0A0A"/>
          <w:sz w:val="20"/>
        </w:rPr>
        <w:t>Salesforce migration</w:t>
      </w:r>
      <w:r>
        <w:rPr>
          <w:rFonts w:ascii="Calibri" w:hAnsi="Calibri"/>
          <w:b w:val="0"/>
          <w:color w:val="222233"/>
          <w:sz w:val="20"/>
        </w:rPr>
        <w:t xml:space="preserve"> across Peru, designing the training plan and onboarding 700+ of the firm's staff onto the new CRM system.</w:t>
      </w:r>
    </w:p>
    <w:p>
      <w:pPr>
        <w:spacing w:before="120" w:after="40"/>
      </w:pPr>
      <w:r>
        <w:rPr>
          <w:rFonts w:ascii="Calibri" w:hAnsi="Calibri"/>
          <w:b/>
          <w:i w:val="0"/>
          <w:color w:val="555566"/>
          <w:sz w:val="18"/>
        </w:rPr>
        <w:t xml:space="preserve">Skills: </w:t>
      </w:r>
      <w:r>
        <w:rPr>
          <w:rFonts w:ascii="Calibri" w:hAnsi="Calibri"/>
          <w:b w:val="0"/>
          <w:i w:val="0"/>
          <w:color w:val="555566"/>
          <w:sz w:val="18"/>
        </w:rPr>
        <w:t>Business Intelligence  ·  Commercial analysis  ·  Salesforce  ·  Consulting</w:t>
      </w:r>
    </w:p>
    <w:p>
      <w:pPr>
        <w:spacing w:before="200" w:after="40"/>
      </w:pPr>
      <w:r>
        <w:rPr>
          <w:rFonts w:ascii="Calibri" w:hAnsi="Calibri"/>
          <w:b/>
          <w:i w:val="0"/>
          <w:color w:val="0A0A0A"/>
          <w:sz w:val="24"/>
        </w:rPr>
        <w:t>Scotiabank Peru</w:t>
      </w:r>
      <w:r>
        <w:rPr>
          <w:rFonts w:ascii="Calibri" w:hAnsi="Calibri"/>
          <w:b w:val="0"/>
          <w:i w:val="0"/>
          <w:color w:val="555566"/>
          <w:sz w:val="18"/>
        </w:rPr>
        <w:t xml:space="preserve">   February – October 2019  ·  9 months</w:t>
      </w:r>
    </w:p>
    <w:p>
      <w:pPr>
        <w:spacing w:before="160" w:after="40"/>
      </w:pPr>
      <w:r>
        <w:rPr>
          <w:rFonts w:ascii="Calibri" w:hAnsi="Calibri"/>
          <w:b/>
          <w:i w:val="0"/>
          <w:color w:val="0A0A0A"/>
          <w:sz w:val="22"/>
        </w:rPr>
        <w:t>Customer Experience Intern</w:t>
      </w:r>
      <w:r>
        <w:t xml:space="preserve">  </w:t>
      </w:r>
      <w:r>
        <w:rPr>
          <w:rFonts w:ascii="Calibri" w:hAnsi="Calibri"/>
          <w:b w:val="0"/>
          <w:i/>
          <w:color w:val="555566"/>
          <w:sz w:val="18"/>
        </w:rPr>
        <w:t>Feb – Oct 2019</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5</w:t>
            </w:r>
          </w:p>
          <w:p>
            <w:pPr>
              <w:spacing w:before="20" w:after="0"/>
            </w:pPr>
            <w:r>
              <w:rPr>
                <w:rFonts w:ascii="Calibri" w:hAnsi="Calibri"/>
                <w:b w:val="0"/>
                <w:i w:val="0"/>
                <w:color w:val="555566"/>
                <w:sz w:val="16"/>
              </w:rPr>
              <w:t>CX improvement initiatives</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Retail &amp; Wholesale</w:t>
            </w:r>
          </w:p>
          <w:p>
            <w:pPr>
              <w:spacing w:before="20" w:after="0"/>
            </w:pPr>
            <w:r>
              <w:rPr>
                <w:rFonts w:ascii="Calibri" w:hAnsi="Calibri"/>
                <w:b w:val="0"/>
                <w:i w:val="0"/>
                <w:color w:val="555566"/>
                <w:sz w:val="16"/>
              </w:rPr>
              <w:t>Customer segments</w:t>
            </w:r>
          </w:p>
        </w:tc>
      </w:tr>
    </w:tbl>
    <w:p/>
    <w:p>
      <w:pPr>
        <w:pStyle w:val="ListBullet"/>
        <w:spacing w:before="20" w:after="20"/>
        <w:ind w:left="283"/>
      </w:pPr>
      <w:r>
        <w:rPr>
          <w:rFonts w:ascii="Calibri" w:hAnsi="Calibri"/>
          <w:b w:val="0"/>
          <w:color w:val="222233"/>
          <w:sz w:val="20"/>
        </w:rPr>
        <w:t xml:space="preserve">Designed </w:t>
      </w:r>
      <w:r>
        <w:rPr>
          <w:rFonts w:ascii="Calibri" w:hAnsi="Calibri"/>
          <w:b/>
          <w:color w:val="0A0A0A"/>
          <w:sz w:val="20"/>
        </w:rPr>
        <w:t>loyalty metrics</w:t>
      </w:r>
      <w:r>
        <w:rPr>
          <w:rFonts w:ascii="Calibri" w:hAnsi="Calibri"/>
          <w:b w:val="0"/>
          <w:color w:val="222233"/>
          <w:sz w:val="20"/>
        </w:rPr>
        <w:t xml:space="preserve"> for retail and wholesale segments, assessing campaign impact on the bank's customer base.</w:t>
      </w:r>
    </w:p>
    <w:p>
      <w:pPr>
        <w:pStyle w:val="ListBullet"/>
        <w:spacing w:before="20" w:after="20"/>
        <w:ind w:left="283"/>
      </w:pPr>
      <w:r>
        <w:rPr>
          <w:rFonts w:ascii="Calibri" w:hAnsi="Calibri"/>
          <w:b w:val="0"/>
          <w:color w:val="222233"/>
          <w:sz w:val="20"/>
        </w:rPr>
        <w:t xml:space="preserve">Active participation in </w:t>
      </w:r>
      <w:r>
        <w:rPr>
          <w:rFonts w:ascii="Calibri" w:hAnsi="Calibri"/>
          <w:b/>
          <w:color w:val="0A0A0A"/>
          <w:sz w:val="20"/>
        </w:rPr>
        <w:t>5 successful initiatives</w:t>
      </w:r>
      <w:r>
        <w:rPr>
          <w:rFonts w:ascii="Calibri" w:hAnsi="Calibri"/>
          <w:b w:val="0"/>
          <w:color w:val="222233"/>
          <w:sz w:val="20"/>
        </w:rPr>
        <w:t xml:space="preserve"> to improve customer experience.</w:t>
      </w:r>
    </w:p>
    <w:p>
      <w:pPr>
        <w:spacing w:before="280" w:after="80"/>
        <w:pBdr>
          <w:bottom w:val="single" w:sz="4" w:space="4" w:color="DDDDDD"/>
        </w:pBdr>
      </w:pPr>
      <w:r>
        <w:rPr>
          <w:rFonts w:ascii="Calibri" w:hAnsi="Calibri"/>
          <w:b/>
          <w:i w:val="0"/>
          <w:color w:val="555566"/>
          <w:sz w:val="16"/>
        </w:rPr>
        <w:t>EDUCATION</w:t>
      </w:r>
    </w:p>
    <w:p>
      <w:pPr>
        <w:spacing w:before="120" w:after="20"/>
      </w:pPr>
      <w:r>
        <w:rPr>
          <w:rFonts w:ascii="Calibri" w:hAnsi="Calibri"/>
          <w:b/>
          <w:i w:val="0"/>
          <w:color w:val="0A0A0A"/>
          <w:sz w:val="22"/>
        </w:rPr>
        <w:t>Master in Management</w:t>
      </w:r>
    </w:p>
    <w:p>
      <w:pPr>
        <w:spacing w:before="0" w:after="40"/>
      </w:pPr>
      <w:r>
        <w:rPr>
          <w:rFonts w:ascii="Calibri" w:hAnsi="Calibri"/>
          <w:b w:val="0"/>
          <w:i w:val="0"/>
          <w:color w:val="555566"/>
          <w:sz w:val="18"/>
        </w:rPr>
        <w:t>Pacífico Business School · Lima, Peru  ·  Postgraduate · 2024</w:t>
      </w:r>
    </w:p>
    <w:p>
      <w:pPr>
        <w:spacing w:before="120" w:after="20"/>
      </w:pPr>
      <w:r>
        <w:rPr>
          <w:rFonts w:ascii="Calibri" w:hAnsi="Calibri"/>
          <w:b/>
          <w:i w:val="0"/>
          <w:color w:val="0A0A0A"/>
          <w:sz w:val="22"/>
        </w:rPr>
        <w:t>Bachelor in Marketing</w:t>
      </w:r>
    </w:p>
    <w:p>
      <w:pPr>
        <w:spacing w:before="0" w:after="40"/>
      </w:pPr>
      <w:r>
        <w:rPr>
          <w:rFonts w:ascii="Calibri" w:hAnsi="Calibri"/>
          <w:b w:val="0"/>
          <w:i w:val="0"/>
          <w:color w:val="555566"/>
          <w:sz w:val="18"/>
        </w:rPr>
        <w:t>Universidad del Pacífico · Lima, Peru  ·  Undergraduate · 2021</w:t>
      </w:r>
    </w:p>
    <w:p>
      <w:pPr>
        <w:spacing w:before="280" w:after="80"/>
        <w:pBdr>
          <w:bottom w:val="single" w:sz="4" w:space="4" w:color="DDDDDD"/>
        </w:pBdr>
      </w:pPr>
      <w:r>
        <w:rPr>
          <w:rFonts w:ascii="Calibri" w:hAnsi="Calibri"/>
          <w:b/>
          <w:i w:val="0"/>
          <w:color w:val="555566"/>
          <w:sz w:val="16"/>
        </w:rPr>
        <w:t>CERTIFICATIONS</w:t>
      </w:r>
    </w:p>
    <w:p>
      <w:pPr>
        <w:spacing w:before="60" w:after="20"/>
      </w:pPr>
      <w:r>
        <w:rPr>
          <w:rFonts w:ascii="Calibri" w:hAnsi="Calibri"/>
          <w:b/>
          <w:i w:val="0"/>
          <w:color w:val="16A34A"/>
          <w:sz w:val="18"/>
        </w:rPr>
        <w:t xml:space="preserve">[✓]  </w:t>
      </w:r>
      <w:r>
        <w:rPr>
          <w:rFonts w:ascii="Calibri" w:hAnsi="Calibri"/>
          <w:b/>
          <w:i w:val="0"/>
          <w:color w:val="0A0A0A"/>
          <w:sz w:val="20"/>
        </w:rPr>
        <w:t>Data Specialist</w:t>
      </w:r>
      <w:r>
        <w:rPr>
          <w:rFonts w:ascii="Calibri" w:hAnsi="Calibri"/>
          <w:b w:val="0"/>
          <w:i w:val="0"/>
          <w:color w:val="555566"/>
          <w:sz w:val="18"/>
        </w:rPr>
        <w:t xml:space="preserve">  —  BBVA University · 2024</w:t>
      </w:r>
    </w:p>
    <w:p>
      <w:pPr>
        <w:spacing w:before="60" w:after="20"/>
      </w:pPr>
      <w:r>
        <w:rPr>
          <w:rFonts w:ascii="Calibri" w:hAnsi="Calibri"/>
          <w:b/>
          <w:i w:val="0"/>
          <w:color w:val="16A34A"/>
          <w:sz w:val="18"/>
        </w:rPr>
        <w:t xml:space="preserve">[✓]  </w:t>
      </w:r>
      <w:r>
        <w:rPr>
          <w:rFonts w:ascii="Calibri" w:hAnsi="Calibri"/>
          <w:b/>
          <w:i w:val="0"/>
          <w:color w:val="0A0A0A"/>
          <w:sz w:val="20"/>
        </w:rPr>
        <w:t>SQL for Data Science</w:t>
      </w:r>
      <w:r>
        <w:rPr>
          <w:rFonts w:ascii="Calibri" w:hAnsi="Calibri"/>
          <w:b w:val="0"/>
          <w:i w:val="0"/>
          <w:color w:val="555566"/>
          <w:sz w:val="18"/>
        </w:rPr>
        <w:t xml:space="preserve">  —  UCLA Extension · 2022</w:t>
      </w:r>
    </w:p>
    <w:p>
      <w:pPr>
        <w:spacing w:before="60" w:after="20"/>
      </w:pPr>
      <w:r>
        <w:rPr>
          <w:rFonts w:ascii="Calibri" w:hAnsi="Calibri"/>
          <w:b/>
          <w:i w:val="0"/>
          <w:color w:val="16A34A"/>
          <w:sz w:val="18"/>
        </w:rPr>
        <w:t xml:space="preserve">[✓]  </w:t>
      </w:r>
      <w:r>
        <w:rPr>
          <w:rFonts w:ascii="Calibri" w:hAnsi="Calibri"/>
          <w:b/>
          <w:i w:val="0"/>
          <w:color w:val="0A0A0A"/>
          <w:sz w:val="20"/>
        </w:rPr>
        <w:t>Professional Certificate in Data Science</w:t>
      </w:r>
      <w:r>
        <w:rPr>
          <w:rFonts w:ascii="Calibri" w:hAnsi="Calibri"/>
          <w:b w:val="0"/>
          <w:i w:val="0"/>
          <w:color w:val="555566"/>
          <w:sz w:val="18"/>
        </w:rPr>
        <w:t xml:space="preserve">  —  IBM · 2020</w:t>
      </w:r>
    </w:p>
    <w:p>
      <w:pPr>
        <w:spacing w:before="60" w:after="20"/>
      </w:pPr>
      <w:r>
        <w:rPr>
          <w:rFonts w:ascii="Calibri" w:hAnsi="Calibri"/>
          <w:b/>
          <w:i w:val="0"/>
          <w:color w:val="16A34A"/>
          <w:sz w:val="18"/>
        </w:rPr>
        <w:t xml:space="preserve">[✓]  </w:t>
      </w:r>
      <w:r>
        <w:rPr>
          <w:rFonts w:ascii="Calibri" w:hAnsi="Calibri"/>
          <w:b/>
          <w:i w:val="0"/>
          <w:color w:val="0A0A0A"/>
          <w:sz w:val="20"/>
        </w:rPr>
        <w:t>Big Data &amp; Cloud Analytics</w:t>
      </w:r>
      <w:r>
        <w:rPr>
          <w:rFonts w:ascii="Calibri" w:hAnsi="Calibri"/>
          <w:b w:val="0"/>
          <w:i w:val="0"/>
          <w:color w:val="555566"/>
          <w:sz w:val="18"/>
        </w:rPr>
        <w:t xml:space="preserve">  —  Kedge Business School · 2020</w:t>
      </w:r>
    </w:p>
    <w:p>
      <w:pPr>
        <w:spacing w:before="60" w:after="20"/>
      </w:pPr>
      <w:r>
        <w:rPr>
          <w:rFonts w:ascii="Calibri" w:hAnsi="Calibri"/>
          <w:b/>
          <w:i w:val="0"/>
          <w:color w:val="B45E09"/>
          <w:sz w:val="18"/>
        </w:rPr>
        <w:t xml:space="preserve">[In progress]  </w:t>
      </w:r>
      <w:r>
        <w:rPr>
          <w:rFonts w:ascii="Calibri" w:hAnsi="Calibri"/>
          <w:b/>
          <w:i w:val="0"/>
          <w:color w:val="0A0A0A"/>
          <w:sz w:val="20"/>
        </w:rPr>
        <w:t>Microsoft PL-300 · Power BI Data Analyst Associate</w:t>
      </w:r>
      <w:r>
        <w:rPr>
          <w:rFonts w:ascii="Calibri" w:hAnsi="Calibri"/>
          <w:b w:val="0"/>
          <w:i w:val="0"/>
          <w:color w:val="555566"/>
          <w:sz w:val="18"/>
        </w:rPr>
        <w:t xml:space="preserve">  —  Microsoft · 2025</w:t>
      </w:r>
    </w:p>
    <w:p>
      <w:pPr>
        <w:spacing w:before="60" w:after="20"/>
      </w:pPr>
      <w:r>
        <w:rPr>
          <w:rFonts w:ascii="Calibri" w:hAnsi="Calibri"/>
          <w:b/>
          <w:i w:val="0"/>
          <w:color w:val="B45E09"/>
          <w:sz w:val="18"/>
        </w:rPr>
        <w:t xml:space="preserve">[In progress]  </w:t>
      </w:r>
      <w:r>
        <w:rPr>
          <w:rFonts w:ascii="Calibri" w:hAnsi="Calibri"/>
          <w:b/>
          <w:i w:val="0"/>
          <w:color w:val="0A0A0A"/>
          <w:sz w:val="20"/>
        </w:rPr>
        <w:t>Google Analytics 4</w:t>
      </w:r>
      <w:r>
        <w:rPr>
          <w:rFonts w:ascii="Calibri" w:hAnsi="Calibri"/>
          <w:b w:val="0"/>
          <w:i w:val="0"/>
          <w:color w:val="555566"/>
          <w:sz w:val="18"/>
        </w:rPr>
        <w:t xml:space="preserve">  —  Google Skillshop · 2025</w:t>
      </w:r>
    </w:p>
    <w:p>
      <w:pPr>
        <w:spacing w:before="60" w:after="20"/>
      </w:pPr>
      <w:r>
        <w:rPr>
          <w:rFonts w:ascii="Calibri" w:hAnsi="Calibri"/>
          <w:b/>
          <w:i w:val="0"/>
          <w:color w:val="B45E09"/>
          <w:sz w:val="18"/>
        </w:rPr>
        <w:t xml:space="preserve">[In progress]  </w:t>
      </w:r>
      <w:r>
        <w:rPr>
          <w:rFonts w:ascii="Calibri" w:hAnsi="Calibri"/>
          <w:b/>
          <w:i w:val="0"/>
          <w:color w:val="0A0A0A"/>
          <w:sz w:val="20"/>
        </w:rPr>
        <w:t>AWS Certified Data Engineer – Associate (DEA-C01)</w:t>
      </w:r>
      <w:r>
        <w:rPr>
          <w:rFonts w:ascii="Calibri" w:hAnsi="Calibri"/>
          <w:b w:val="0"/>
          <w:i w:val="0"/>
          <w:color w:val="555566"/>
          <w:sz w:val="18"/>
        </w:rPr>
        <w:t xml:space="preserve">  —  Amazon · 2025</w:t>
      </w:r>
    </w:p>
    <w:p>
      <w:pPr>
        <w:spacing w:before="280" w:after="80"/>
        <w:pBdr>
          <w:bottom w:val="single" w:sz="4" w:space="4" w:color="DDDDDD"/>
        </w:pBdr>
      </w:pPr>
      <w:r>
        <w:rPr>
          <w:rFonts w:ascii="Calibri" w:hAnsi="Calibri"/>
          <w:b/>
          <w:i w:val="0"/>
          <w:color w:val="555566"/>
          <w:sz w:val="16"/>
        </w:rPr>
        <w:t>LANGUAGES</w:t>
      </w:r>
    </w:p>
    <w:p>
      <w:pPr>
        <w:spacing w:before="80" w:after="20"/>
      </w:pPr>
      <w:r>
        <w:rPr>
          <w:rFonts w:ascii="Calibri" w:hAnsi="Calibri"/>
          <w:b/>
          <w:i w:val="0"/>
          <w:color w:val="0A0A0A"/>
          <w:sz w:val="20"/>
        </w:rPr>
        <w:t>Spanish  —  Native</w:t>
      </w:r>
    </w:p>
    <w:p>
      <w:pPr>
        <w:spacing w:before="80" w:after="20"/>
      </w:pPr>
      <w:r>
        <w:rPr>
          <w:rFonts w:ascii="Calibri" w:hAnsi="Calibri"/>
          <w:b/>
          <w:i w:val="0"/>
          <w:color w:val="0A0A0A"/>
          <w:sz w:val="20"/>
        </w:rPr>
        <w:t>English  —  Professional</w:t>
      </w:r>
      <w:r>
        <w:rPr>
          <w:rFonts w:ascii="Calibri" w:hAnsi="Calibri"/>
          <w:b w:val="0"/>
          <w:i/>
          <w:color w:val="555566"/>
          <w:sz w:val="18"/>
        </w:rPr>
        <w:t xml:space="preserve">  (IELTS Academic Band 7.0)</w:t>
      </w:r>
    </w:p>
    <w:p>
      <w:pPr>
        <w:spacing w:before="80" w:after="20"/>
      </w:pPr>
      <w:r>
        <w:rPr>
          <w:rFonts w:ascii="Calibri" w:hAnsi="Calibri"/>
          <w:b/>
          <w:i w:val="0"/>
          <w:color w:val="0A0A0A"/>
          <w:sz w:val="20"/>
        </w:rPr>
        <w:t>Italian  —  Conversational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