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120"/>
        <w:jc w:val="center"/>
      </w:pPr>
      <w:r>
        <w:rPr>
          <w:b/>
          <w:bCs/>
          <w:color w:val="1f3a5f"/>
          <w:sz w:val="52"/>
          <w:szCs w:val="52"/>
        </w:rPr>
        <w:t xml:space="preserve">이니스프리 리브랜딩</w:t>
      </w:r>
    </w:p>
    <w:p>
      <w:pPr>
        <w:spacing w:after="400"/>
        <w:jc w:val="center"/>
      </w:pPr>
      <w:r>
        <w:rPr>
          <w:b/>
          <w:bCs/>
          <w:color w:val="2a7f8e"/>
          <w:sz w:val="40"/>
          <w:szCs w:val="40"/>
        </w:rPr>
        <w:t xml:space="preserve">문제 A~E 진단과 해결 전략</w:t>
      </w:r>
    </w:p>
    <w:p>
      <w:pPr>
        <w:spacing w:after="80"/>
        <w:jc w:val="center"/>
      </w:pPr>
      <w:r>
        <w:rPr>
          <w:color w:val="444444"/>
          <w:sz w:val="24"/>
          <w:szCs w:val="24"/>
        </w:rPr>
        <w:t xml:space="preserve">마케팅 전략 설계 수업자료(12~15강·19강) 프레임 적용</w:t>
      </w:r>
    </w:p>
    <w:p>
      <w:pPr>
        <w:spacing w:after="1000"/>
        <w:jc w:val="center"/>
      </w:pPr>
      <w:r>
        <w:rPr>
          <w:i/>
          <w:iCs/>
          <w:color w:val="808080"/>
          <w:sz w:val="20"/>
          <w:szCs w:val="20"/>
        </w:rPr>
        <w:t xml:space="preserve">3C·PESTEL·5Forces·SWOT  →  STP  →  포지셔닝·가치제안  →  퍼널·AARRR·그로스  →  KPI 측정계획</w:t>
      </w:r>
    </w:p>
    <w:p>
      <w:pPr>
        <w:spacing w:after="3200"/>
        <w:jc w:val="center"/>
      </w:pPr>
      <w:r>
        <w:rPr>
          <w:color w:val="808080"/>
          <w:sz w:val="20"/>
          <w:szCs w:val="20"/>
        </w:rPr>
        <w:t xml:space="preserve">2026-08-19</w:t>
      </w:r>
    </w:p>
    <w:p>
      <w:pPr>
        <w:jc w:val="center"/>
      </w:pPr>
      <w:r>
        <w:rPr>
          <w:color w:val="9aa0a6"/>
          <w:sz w:val="16"/>
          <w:szCs w:val="16"/>
        </w:rPr>
        <w:t xml:space="preserve">공개된 감사보고서·공정거래위원회 정보공개서·네이버 데이터랩·언론보도를 근거로 한 학습용 분석입니다.
이니스프리 및 아모레퍼시픽과 무관한 캡스톤 프로젝트 목적의 가상 기획입니다.</w:t>
      </w:r>
    </w:p>
    <w:p>
      <w:r>
        <w:br w:type="page"/>
      </w:r>
    </w:p>
    <w:p>
      <w:pPr>
        <w:sectPr>
          <w:pgSz w:w="11906" w:h="16838" w:orient="portrait"/>
          <w:pgMar w:top="1134" w:right="1134" w:bottom="1134" w:left="1134" w:header="708" w:footer="708" w:gutter="0"/>
          <w:pgNumType/>
          <w:docGrid w:linePitch="360"/>
        </w:sectPr>
      </w:pPr>
    </w:p>
    <w:p>
      <w:pPr>
        <w:pStyle w:val="Heading1"/>
        <w:pBdr>
          <w:bottom w:val="single" w:color="1f3a5f" w:sz="12" w:space="4"/>
        </w:pBdr>
        <w:spacing w:after="160" w:before="360"/>
      </w:pPr>
      <w:r>
        <w:rPr>
          <w:b/>
          <w:bCs/>
          <w:color w:val="1f3a5f"/>
        </w:rPr>
        <w:t xml:space="preserve">0. 문서 안내 — 어떤 방식으로 문제를 풀었나</w:t>
      </w:r>
    </w:p>
    <w:p>
      <w:pPr>
        <w:spacing w:after="140" w:line="300"/>
      </w:pPr>
      <w:r>
        <w:rPr>
          <w:sz w:val="21"/>
          <w:szCs w:val="21"/>
        </w:rPr>
        <w:t xml:space="preserve">이 문서는 첨부된 수업자료 「마케팅 전략 설계」(12~15강·19강, 핏밀(FitMeal) 케이스)의 프레임을 이니스프리 리브랜딩 문제 A~E에 그대로 적용합니다. 임의의 마케팅 이론이 아니라, 수업자료에 등장한 개념·표·공식만 가져다 씁니다.</w:t>
      </w:r>
    </w:p>
    <w:p>
      <w:pPr>
        <w:pStyle w:val="Heading2"/>
        <w:spacing w:after="120" w:before="260"/>
      </w:pPr>
      <w:r>
        <w:rPr>
          <w:b/>
          <w:bCs/>
          <w:color w:val="2a7f8e"/>
        </w:rPr>
        <w:t xml:space="preserve">적용 순서 (수업자료 강의 순서 그대로)</w:t>
      </w:r>
    </w:p>
    <w:tbl>
      <w:tblPr>
        <w:tblW w:type="dxa" w:w="9350"/>
        <w:tblBorders>
          <w:top w:val="single" w:color="CFD3D8" w:sz="4"/>
          <w:left w:val="single" w:color="CFD3D8" w:sz="4"/>
          <w:bottom w:val="single" w:color="CFD3D8" w:sz="4"/>
          <w:right w:val="single" w:color="CFD3D8" w:sz="4"/>
          <w:insideH w:val="single" w:color="E3E6EA" w:sz="4"/>
          <w:insideV w:val="single" w:color="E3E6EA" w:sz="4"/>
        </w:tblBorders>
      </w:tblPr>
      <w:tblGrid>
        <w:gridCol w:w="935"/>
        <w:gridCol w:w="3273"/>
        <w:gridCol w:w="5143"/>
      </w:tblGrid>
      <w:tr>
        <w:trPr>
          <w:tblHeader/>
        </w:trPr>
        <w:tc>
          <w:tcPr>
            <w:tcW w:type="dxa" w:w="935"/>
            <w:shd w:fill="1f3a5f" w:val="clear"/>
            <w:tcMar>
              <w:top w:type="dxa" w:w="90"/>
              <w:left w:type="dxa" w:w="120"/>
              <w:bottom w:type="dxa" w:w="90"/>
              <w:right w:type="dxa" w:w="120"/>
            </w:tcMar>
            <w:vAlign w:val="center"/>
          </w:tcPr>
          <w:p>
            <w:pPr>
              <w:jc w:val="left"/>
            </w:pPr>
            <w:r>
              <w:rPr>
                <w:b/>
                <w:bCs/>
                <w:color w:val="FFFFFF"/>
                <w:sz w:val="19"/>
                <w:szCs w:val="19"/>
              </w:rPr>
              <w:t xml:space="preserve">강</w:t>
            </w:r>
          </w:p>
        </w:tc>
        <w:tc>
          <w:tcPr>
            <w:tcW w:type="dxa" w:w="3273"/>
            <w:shd w:fill="1f3a5f" w:val="clear"/>
            <w:tcMar>
              <w:top w:type="dxa" w:w="90"/>
              <w:left w:type="dxa" w:w="120"/>
              <w:bottom w:type="dxa" w:w="90"/>
              <w:right w:type="dxa" w:w="120"/>
            </w:tcMar>
            <w:vAlign w:val="center"/>
          </w:tcPr>
          <w:p>
            <w:pPr>
              <w:jc w:val="left"/>
            </w:pPr>
            <w:r>
              <w:rPr>
                <w:b/>
                <w:bCs/>
                <w:color w:val="FFFFFF"/>
                <w:sz w:val="19"/>
                <w:szCs w:val="19"/>
              </w:rPr>
              <w:t xml:space="preserve">핵심 프레임</w:t>
            </w:r>
          </w:p>
        </w:tc>
        <w:tc>
          <w:tcPr>
            <w:tcW w:type="dxa" w:w="5143"/>
            <w:shd w:fill="1f3a5f" w:val="clear"/>
            <w:tcMar>
              <w:top w:type="dxa" w:w="90"/>
              <w:left w:type="dxa" w:w="120"/>
              <w:bottom w:type="dxa" w:w="90"/>
              <w:right w:type="dxa" w:w="120"/>
            </w:tcMar>
            <w:vAlign w:val="center"/>
          </w:tcPr>
          <w:p>
            <w:pPr>
              <w:jc w:val="left"/>
            </w:pPr>
            <w:r>
              <w:rPr>
                <w:b/>
                <w:bCs/>
                <w:color w:val="FFFFFF"/>
                <w:sz w:val="19"/>
                <w:szCs w:val="19"/>
              </w:rPr>
              <w:t xml:space="preserve">이 문서에서 쓰는 개념</w:t>
            </w:r>
          </w:p>
        </w:tc>
      </w:tr>
      <w:tr>
        <w:tc>
          <w:tcPr>
            <w:tcW w:type="dxa" w:w="935"/>
            <w:shd w:fill="FFFFFF" w:val="clear"/>
            <w:tcMar>
              <w:top w:type="dxa" w:w="80"/>
              <w:left w:type="dxa" w:w="120"/>
              <w:bottom w:type="dxa" w:w="80"/>
              <w:right w:type="dxa" w:w="120"/>
            </w:tcMar>
            <w:vAlign w:val="center"/>
          </w:tcPr>
          <w:p>
            <w:r>
              <w:rPr>
                <w:sz w:val="19"/>
                <w:szCs w:val="19"/>
              </w:rPr>
              <w:t xml:space="preserve">12강</w:t>
            </w:r>
          </w:p>
        </w:tc>
        <w:tc>
          <w:tcPr>
            <w:tcW w:type="dxa" w:w="3273"/>
            <w:shd w:fill="FFFFFF" w:val="clear"/>
            <w:tcMar>
              <w:top w:type="dxa" w:w="80"/>
              <w:left w:type="dxa" w:w="120"/>
              <w:bottom w:type="dxa" w:w="80"/>
              <w:right w:type="dxa" w:w="120"/>
            </w:tcMar>
            <w:vAlign w:val="center"/>
          </w:tcPr>
          <w:p>
            <w:r>
              <w:rPr>
                <w:sz w:val="19"/>
                <w:szCs w:val="19"/>
              </w:rPr>
              <w:t xml:space="preserve">전략 프레임 &amp; 시장·환경 분석</w:t>
            </w:r>
          </w:p>
        </w:tc>
        <w:tc>
          <w:tcPr>
            <w:tcW w:type="dxa" w:w="5143"/>
            <w:shd w:fill="FFFFFF" w:val="clear"/>
            <w:tcMar>
              <w:top w:type="dxa" w:w="80"/>
              <w:left w:type="dxa" w:w="120"/>
              <w:bottom w:type="dxa" w:w="80"/>
              <w:right w:type="dxa" w:w="120"/>
            </w:tcMar>
            <w:vAlign w:val="center"/>
          </w:tcPr>
          <w:p>
            <w:r>
              <w:rPr>
                <w:sz w:val="19"/>
                <w:szCs w:val="19"/>
              </w:rPr>
              <w:t xml:space="preserve">3C(Customer·Competitor·Company)·4C(+Channel)·가치사슬(Value Chain)·PESTEL·5 Forces</w:t>
            </w:r>
          </w:p>
        </w:tc>
      </w:tr>
      <w:tr>
        <w:tc>
          <w:tcPr>
            <w:tcW w:type="dxa" w:w="935"/>
            <w:shd w:fill="f2f3f5" w:val="clear"/>
            <w:tcMar>
              <w:top w:type="dxa" w:w="80"/>
              <w:left w:type="dxa" w:w="120"/>
              <w:bottom w:type="dxa" w:w="80"/>
              <w:right w:type="dxa" w:w="120"/>
            </w:tcMar>
            <w:vAlign w:val="center"/>
          </w:tcPr>
          <w:p>
            <w:r>
              <w:rPr>
                <w:sz w:val="19"/>
                <w:szCs w:val="19"/>
              </w:rPr>
              <w:t xml:space="preserve">13강</w:t>
            </w:r>
          </w:p>
        </w:tc>
        <w:tc>
          <w:tcPr>
            <w:tcW w:type="dxa" w:w="3273"/>
            <w:shd w:fill="f2f3f5" w:val="clear"/>
            <w:tcMar>
              <w:top w:type="dxa" w:w="80"/>
              <w:left w:type="dxa" w:w="120"/>
              <w:bottom w:type="dxa" w:w="80"/>
              <w:right w:type="dxa" w:w="120"/>
            </w:tcMar>
            <w:vAlign w:val="center"/>
          </w:tcPr>
          <w:p>
            <w:r>
              <w:rPr>
                <w:sz w:val="19"/>
                <w:szCs w:val="19"/>
              </w:rPr>
              <w:t xml:space="preserve">세분화 &amp; 타겟팅</w:t>
            </w:r>
          </w:p>
        </w:tc>
        <w:tc>
          <w:tcPr>
            <w:tcW w:type="dxa" w:w="5143"/>
            <w:shd w:fill="f2f3f5" w:val="clear"/>
            <w:tcMar>
              <w:top w:type="dxa" w:w="80"/>
              <w:left w:type="dxa" w:w="120"/>
              <w:bottom w:type="dxa" w:w="80"/>
              <w:right w:type="dxa" w:w="120"/>
            </w:tcMar>
            <w:vAlign w:val="center"/>
          </w:tcPr>
          <w:p>
            <w:r>
              <w:rPr>
                <w:sz w:val="19"/>
                <w:szCs w:val="19"/>
              </w:rPr>
              <w:t xml:space="preserve">STP(휴면고객 재활성화 세그먼트 근거로 부분 활용)</w:t>
            </w:r>
          </w:p>
        </w:tc>
      </w:tr>
      <w:tr>
        <w:tc>
          <w:tcPr>
            <w:tcW w:type="dxa" w:w="935"/>
            <w:shd w:fill="FFFFFF" w:val="clear"/>
            <w:tcMar>
              <w:top w:type="dxa" w:w="80"/>
              <w:left w:type="dxa" w:w="120"/>
              <w:bottom w:type="dxa" w:w="80"/>
              <w:right w:type="dxa" w:w="120"/>
            </w:tcMar>
            <w:vAlign w:val="center"/>
          </w:tcPr>
          <w:p>
            <w:r>
              <w:rPr>
                <w:sz w:val="19"/>
                <w:szCs w:val="19"/>
              </w:rPr>
              <w:t xml:space="preserve">14강</w:t>
            </w:r>
          </w:p>
        </w:tc>
        <w:tc>
          <w:tcPr>
            <w:tcW w:type="dxa" w:w="3273"/>
            <w:shd w:fill="FFFFFF" w:val="clear"/>
            <w:tcMar>
              <w:top w:type="dxa" w:w="80"/>
              <w:left w:type="dxa" w:w="120"/>
              <w:bottom w:type="dxa" w:w="80"/>
              <w:right w:type="dxa" w:w="120"/>
            </w:tcMar>
            <w:vAlign w:val="center"/>
          </w:tcPr>
          <w:p>
            <w:r>
              <w:rPr>
                <w:sz w:val="19"/>
                <w:szCs w:val="19"/>
              </w:rPr>
              <w:t xml:space="preserve">포지셔닝 &amp; 가치제안</w:t>
            </w:r>
          </w:p>
        </w:tc>
        <w:tc>
          <w:tcPr>
            <w:tcW w:type="dxa" w:w="5143"/>
            <w:shd w:fill="FFFFFF" w:val="clear"/>
            <w:tcMar>
              <w:top w:type="dxa" w:w="80"/>
              <w:left w:type="dxa" w:w="120"/>
              <w:bottom w:type="dxa" w:w="80"/>
              <w:right w:type="dxa" w:w="120"/>
            </w:tcMar>
            <w:vAlign w:val="center"/>
          </w:tcPr>
          <w:p>
            <w:r>
              <w:rPr>
                <w:sz w:val="19"/>
                <w:szCs w:val="19"/>
              </w:rPr>
              <w:t xml:space="preserve">포지셔닝 3원칙(차별성·관련성·신뢰성)·RTB(신뢰의 근거)·포지셔닝 문장 공식·리포지셔닝</w:t>
            </w:r>
          </w:p>
        </w:tc>
      </w:tr>
      <w:tr>
        <w:tc>
          <w:tcPr>
            <w:tcW w:type="dxa" w:w="935"/>
            <w:shd w:fill="f2f3f5" w:val="clear"/>
            <w:tcMar>
              <w:top w:type="dxa" w:w="80"/>
              <w:left w:type="dxa" w:w="120"/>
              <w:bottom w:type="dxa" w:w="80"/>
              <w:right w:type="dxa" w:w="120"/>
            </w:tcMar>
            <w:vAlign w:val="center"/>
          </w:tcPr>
          <w:p>
            <w:r>
              <w:rPr>
                <w:sz w:val="19"/>
                <w:szCs w:val="19"/>
              </w:rPr>
              <w:t xml:space="preserve">15강</w:t>
            </w:r>
          </w:p>
        </w:tc>
        <w:tc>
          <w:tcPr>
            <w:tcW w:type="dxa" w:w="3273"/>
            <w:shd w:fill="f2f3f5" w:val="clear"/>
            <w:tcMar>
              <w:top w:type="dxa" w:w="80"/>
              <w:left w:type="dxa" w:w="120"/>
              <w:bottom w:type="dxa" w:w="80"/>
              <w:right w:type="dxa" w:w="120"/>
            </w:tcMar>
            <w:vAlign w:val="center"/>
          </w:tcPr>
          <w:p>
            <w:r>
              <w:rPr>
                <w:sz w:val="19"/>
                <w:szCs w:val="19"/>
              </w:rPr>
              <w:t xml:space="preserve">퍼널 설계 · AARRR · 그로스</w:t>
            </w:r>
          </w:p>
        </w:tc>
        <w:tc>
          <w:tcPr>
            <w:tcW w:type="dxa" w:w="5143"/>
            <w:shd w:fill="f2f3f5" w:val="clear"/>
            <w:tcMar>
              <w:top w:type="dxa" w:w="80"/>
              <w:left w:type="dxa" w:w="120"/>
              <w:bottom w:type="dxa" w:w="80"/>
              <w:right w:type="dxa" w:w="120"/>
            </w:tcMar>
            <w:vAlign w:val="center"/>
          </w:tcPr>
          <w:p>
            <w:r>
              <w:rPr>
                <w:sz w:val="19"/>
                <w:szCs w:val="19"/>
              </w:rPr>
              <w:t xml:space="preserve">CVR 병목 진단·TOFU/MOFU/BOFU·ICE 우선순위·코호트 분석·그로스 루프·노스스타 지표</w:t>
            </w:r>
          </w:p>
        </w:tc>
      </w:tr>
      <w:tr>
        <w:tc>
          <w:tcPr>
            <w:tcW w:type="dxa" w:w="935"/>
            <w:shd w:fill="FFFFFF" w:val="clear"/>
            <w:tcMar>
              <w:top w:type="dxa" w:w="80"/>
              <w:left w:type="dxa" w:w="120"/>
              <w:bottom w:type="dxa" w:w="80"/>
              <w:right w:type="dxa" w:w="120"/>
            </w:tcMar>
            <w:vAlign w:val="center"/>
          </w:tcPr>
          <w:p>
            <w:r>
              <w:rPr>
                <w:sz w:val="19"/>
                <w:szCs w:val="19"/>
              </w:rPr>
              <w:t xml:space="preserve">19강</w:t>
            </w:r>
          </w:p>
        </w:tc>
        <w:tc>
          <w:tcPr>
            <w:tcW w:type="dxa" w:w="3273"/>
            <w:shd w:fill="FFFFFF" w:val="clear"/>
            <w:tcMar>
              <w:top w:type="dxa" w:w="80"/>
              <w:left w:type="dxa" w:w="120"/>
              <w:bottom w:type="dxa" w:w="80"/>
              <w:right w:type="dxa" w:w="120"/>
            </w:tcMar>
            <w:vAlign w:val="center"/>
          </w:tcPr>
          <w:p>
            <w:r>
              <w:rPr>
                <w:sz w:val="19"/>
                <w:szCs w:val="19"/>
              </w:rPr>
              <w:t xml:space="preserve">측정계획 &amp; 전략기획서 통합</w:t>
            </w:r>
          </w:p>
        </w:tc>
        <w:tc>
          <w:tcPr>
            <w:tcW w:type="dxa" w:w="5143"/>
            <w:shd w:fill="FFFFFF" w:val="clear"/>
            <w:tcMar>
              <w:top w:type="dxa" w:w="80"/>
              <w:left w:type="dxa" w:w="120"/>
              <w:bottom w:type="dxa" w:w="80"/>
              <w:right w:type="dxa" w:w="120"/>
            </w:tcMar>
            <w:vAlign w:val="center"/>
          </w:tcPr>
          <w:p>
            <w:r>
              <w:rPr>
                <w:sz w:val="19"/>
                <w:szCs w:val="19"/>
              </w:rPr>
              <w:t xml:space="preserve">KPI 트리(노스스타→동인→실행지표)</w:t>
            </w:r>
          </w:p>
        </w:tc>
      </w:tr>
    </w:tbl>
    <w:p>
      <w:pPr>
        <w:spacing w:after="120"/>
      </w:pPr>
    </w:p>
    <w:p>
      <w:pPr>
        <w:pStyle w:val="Heading2"/>
        <w:spacing w:after="120" w:before="260"/>
      </w:pPr>
      <w:r>
        <w:rPr>
          <w:b/>
          <w:bCs/>
          <w:color w:val="2a7f8e"/>
        </w:rPr>
        <w:t xml:space="preserve">근거 등급 — 무엇을 어떻게 인용했나</w:t>
      </w:r>
    </w:p>
    <w:p>
      <w:pPr>
        <w:spacing w:after="140" w:line="300"/>
      </w:pPr>
      <w:r>
        <w:rPr>
          <w:sz w:val="21"/>
          <w:szCs w:val="21"/>
        </w:rPr>
        <w:t xml:space="preserve">모든 데이터에는 아래 4단계 등급을 표시합니다. 이 프로젝트의 근거검증 문서(근거검증_감사.md)에서 그대로 가져온 기준이며, D등급(주장·추정, 검증 불가)에 해당하는 데이터는 이 문서에서 전혀 사용하지 않았습니다.</w:t>
      </w:r>
    </w:p>
    <w:tbl>
      <w:tblPr>
        <w:tblW w:type="dxa" w:w="9350"/>
        <w:tblBorders>
          <w:top w:val="single" w:color="CFD3D8" w:sz="4"/>
          <w:left w:val="single" w:color="CFD3D8" w:sz="4"/>
          <w:bottom w:val="single" w:color="CFD3D8" w:sz="4"/>
          <w:right w:val="single" w:color="CFD3D8" w:sz="4"/>
          <w:insideH w:val="single" w:color="E3E6EA" w:sz="4"/>
          <w:insideV w:val="single" w:color="E3E6EA" w:sz="4"/>
        </w:tblBorders>
      </w:tblPr>
      <w:tblGrid>
        <w:gridCol w:w="935"/>
        <w:gridCol w:w="4488"/>
        <w:gridCol w:w="3927"/>
      </w:tblGrid>
      <w:tr>
        <w:trPr>
          <w:tblHeader/>
        </w:trPr>
        <w:tc>
          <w:tcPr>
            <w:tcW w:type="dxa" w:w="935"/>
            <w:shd w:fill="1f3a5f" w:val="clear"/>
            <w:tcMar>
              <w:top w:type="dxa" w:w="90"/>
              <w:left w:type="dxa" w:w="120"/>
              <w:bottom w:type="dxa" w:w="90"/>
              <w:right w:type="dxa" w:w="120"/>
            </w:tcMar>
            <w:vAlign w:val="center"/>
          </w:tcPr>
          <w:p>
            <w:pPr>
              <w:jc w:val="left"/>
            </w:pPr>
            <w:r>
              <w:rPr>
                <w:b/>
                <w:bCs/>
                <w:color w:val="FFFFFF"/>
                <w:sz w:val="19"/>
                <w:szCs w:val="19"/>
              </w:rPr>
              <w:t xml:space="preserve">등급</w:t>
            </w:r>
          </w:p>
        </w:tc>
        <w:tc>
          <w:tcPr>
            <w:tcW w:type="dxa" w:w="4488"/>
            <w:shd w:fill="1f3a5f" w:val="clear"/>
            <w:tcMar>
              <w:top w:type="dxa" w:w="90"/>
              <w:left w:type="dxa" w:w="120"/>
              <w:bottom w:type="dxa" w:w="90"/>
              <w:right w:type="dxa" w:w="120"/>
            </w:tcMar>
            <w:vAlign w:val="center"/>
          </w:tcPr>
          <w:p>
            <w:pPr>
              <w:jc w:val="left"/>
            </w:pPr>
            <w:r>
              <w:rPr>
                <w:b/>
                <w:bCs/>
                <w:color w:val="FFFFFF"/>
                <w:sz w:val="19"/>
                <w:szCs w:val="19"/>
              </w:rPr>
              <w:t xml:space="preserve">뜻</w:t>
            </w:r>
          </w:p>
        </w:tc>
        <w:tc>
          <w:tcPr>
            <w:tcW w:type="dxa" w:w="3927"/>
            <w:shd w:fill="1f3a5f" w:val="clear"/>
            <w:tcMar>
              <w:top w:type="dxa" w:w="90"/>
              <w:left w:type="dxa" w:w="120"/>
              <w:bottom w:type="dxa" w:w="90"/>
              <w:right w:type="dxa" w:w="120"/>
            </w:tcMar>
            <w:vAlign w:val="center"/>
          </w:tcPr>
          <w:p>
            <w:pPr>
              <w:jc w:val="left"/>
            </w:pPr>
            <w:r>
              <w:rPr>
                <w:b/>
                <w:bCs/>
                <w:color w:val="FFFFFF"/>
                <w:sz w:val="19"/>
                <w:szCs w:val="19"/>
              </w:rPr>
              <w:t xml:space="preserve">이 문서에서</w:t>
            </w:r>
          </w:p>
        </w:tc>
      </w:tr>
      <w:tr>
        <w:tc>
          <w:tcPr>
            <w:tcW w:type="dxa" w:w="935"/>
            <w:shd w:fill="FFFFFF" w:val="clear"/>
            <w:tcMar>
              <w:top w:type="dxa" w:w="80"/>
              <w:left w:type="dxa" w:w="120"/>
              <w:bottom w:type="dxa" w:w="80"/>
              <w:right w:type="dxa" w:w="120"/>
            </w:tcMar>
            <w:vAlign w:val="center"/>
          </w:tcPr>
          <w:p>
            <w:r>
              <w:rPr>
                <w:sz w:val="19"/>
                <w:szCs w:val="19"/>
              </w:rPr>
              <w:t xml:space="preserve">A</w:t>
            </w:r>
          </w:p>
        </w:tc>
        <w:tc>
          <w:tcPr>
            <w:tcW w:type="dxa" w:w="4488"/>
            <w:shd w:fill="FFFFFF" w:val="clear"/>
            <w:tcMar>
              <w:top w:type="dxa" w:w="80"/>
              <w:left w:type="dxa" w:w="120"/>
              <w:bottom w:type="dxa" w:w="80"/>
              <w:right w:type="dxa" w:w="120"/>
            </w:tcMar>
            <w:vAlign w:val="center"/>
          </w:tcPr>
          <w:p>
            <w:r>
              <w:rPr>
                <w:sz w:val="19"/>
                <w:szCs w:val="19"/>
              </w:rPr>
              <w:t xml:space="preserve">1차 자료(법정 공시·등록). 원본 보유</w:t>
            </w:r>
          </w:p>
        </w:tc>
        <w:tc>
          <w:tcPr>
            <w:tcW w:type="dxa" w:w="3927"/>
            <w:shd w:fill="FFFFFF" w:val="clear"/>
            <w:tcMar>
              <w:top w:type="dxa" w:w="80"/>
              <w:left w:type="dxa" w:w="120"/>
              <w:bottom w:type="dxa" w:w="80"/>
              <w:right w:type="dxa" w:w="120"/>
            </w:tcMar>
            <w:vAlign w:val="center"/>
          </w:tcPr>
          <w:p>
            <w:r>
              <w:rPr>
                <w:sz w:val="19"/>
                <w:szCs w:val="19"/>
              </w:rPr>
              <w:t xml:space="preserve">감사보고서(DART)·공정거래위원회 정보공개서 수치</w:t>
            </w:r>
          </w:p>
        </w:tc>
      </w:tr>
      <w:tr>
        <w:tc>
          <w:tcPr>
            <w:tcW w:type="dxa" w:w="935"/>
            <w:shd w:fill="f2f3f5" w:val="clear"/>
            <w:tcMar>
              <w:top w:type="dxa" w:w="80"/>
              <w:left w:type="dxa" w:w="120"/>
              <w:bottom w:type="dxa" w:w="80"/>
              <w:right w:type="dxa" w:w="120"/>
            </w:tcMar>
            <w:vAlign w:val="center"/>
          </w:tcPr>
          <w:p>
            <w:r>
              <w:rPr>
                <w:sz w:val="19"/>
                <w:szCs w:val="19"/>
              </w:rPr>
              <w:t xml:space="preserve">B</w:t>
            </w:r>
          </w:p>
        </w:tc>
        <w:tc>
          <w:tcPr>
            <w:tcW w:type="dxa" w:w="4488"/>
            <w:shd w:fill="f2f3f5" w:val="clear"/>
            <w:tcMar>
              <w:top w:type="dxa" w:w="80"/>
              <w:left w:type="dxa" w:w="120"/>
              <w:bottom w:type="dxa" w:w="80"/>
              <w:right w:type="dxa" w:w="120"/>
            </w:tcMar>
            <w:vAlign w:val="center"/>
          </w:tcPr>
          <w:p>
            <w:r>
              <w:rPr>
                <w:sz w:val="19"/>
                <w:szCs w:val="19"/>
              </w:rPr>
              <w:t xml:space="preserve">팀이 직접 수집. 방법론 명시</w:t>
            </w:r>
          </w:p>
        </w:tc>
        <w:tc>
          <w:tcPr>
            <w:tcW w:type="dxa" w:w="3927"/>
            <w:shd w:fill="f2f3f5" w:val="clear"/>
            <w:tcMar>
              <w:top w:type="dxa" w:w="80"/>
              <w:left w:type="dxa" w:w="120"/>
              <w:bottom w:type="dxa" w:w="80"/>
              <w:right w:type="dxa" w:w="120"/>
            </w:tcMar>
            <w:vAlign w:val="center"/>
          </w:tcPr>
          <w:p>
            <w:r>
              <w:rPr>
                <w:sz w:val="19"/>
                <w:szCs w:val="19"/>
              </w:rPr>
              <w:t xml:space="preserve">네이버 데이터랩 검색량, 공식 사이트 직접 점검</w:t>
            </w:r>
          </w:p>
        </w:tc>
      </w:tr>
      <w:tr>
        <w:tc>
          <w:tcPr>
            <w:tcW w:type="dxa" w:w="935"/>
            <w:shd w:fill="FFFFFF" w:val="clear"/>
            <w:tcMar>
              <w:top w:type="dxa" w:w="80"/>
              <w:left w:type="dxa" w:w="120"/>
              <w:bottom w:type="dxa" w:w="80"/>
              <w:right w:type="dxa" w:w="120"/>
            </w:tcMar>
            <w:vAlign w:val="center"/>
          </w:tcPr>
          <w:p>
            <w:r>
              <w:rPr>
                <w:sz w:val="19"/>
                <w:szCs w:val="19"/>
              </w:rPr>
              <w:t xml:space="preserve">C</w:t>
            </w:r>
          </w:p>
        </w:tc>
        <w:tc>
          <w:tcPr>
            <w:tcW w:type="dxa" w:w="4488"/>
            <w:shd w:fill="FFFFFF" w:val="clear"/>
            <w:tcMar>
              <w:top w:type="dxa" w:w="80"/>
              <w:left w:type="dxa" w:w="120"/>
              <w:bottom w:type="dxa" w:w="80"/>
              <w:right w:type="dxa" w:w="120"/>
            </w:tcMar>
            <w:vAlign w:val="center"/>
          </w:tcPr>
          <w:p>
            <w:r>
              <w:rPr>
                <w:sz w:val="19"/>
                <w:szCs w:val="19"/>
              </w:rPr>
              <w:t xml:space="preserve">언론 보도. 1차 자료로 교차검증 안 됨</w:t>
            </w:r>
          </w:p>
        </w:tc>
        <w:tc>
          <w:tcPr>
            <w:tcW w:type="dxa" w:w="3927"/>
            <w:shd w:fill="FFFFFF" w:val="clear"/>
            <w:tcMar>
              <w:top w:type="dxa" w:w="80"/>
              <w:left w:type="dxa" w:w="120"/>
              <w:bottom w:type="dxa" w:w="80"/>
              <w:right w:type="dxa" w:w="120"/>
            </w:tcMar>
            <w:vAlign w:val="center"/>
          </w:tcPr>
          <w:p>
            <w:r>
              <w:rPr>
                <w:sz w:val="19"/>
                <w:szCs w:val="19"/>
              </w:rPr>
              <w:t xml:space="preserve">업계 일반 참고지표(AI 인용률 등) — 출처 명시 후 신중히 인용</w:t>
            </w:r>
          </w:p>
        </w:tc>
      </w:tr>
      <w:tr>
        <w:tc>
          <w:tcPr>
            <w:tcW w:type="dxa" w:w="935"/>
            <w:shd w:fill="f2f3f5" w:val="clear"/>
            <w:tcMar>
              <w:top w:type="dxa" w:w="80"/>
              <w:left w:type="dxa" w:w="120"/>
              <w:bottom w:type="dxa" w:w="80"/>
              <w:right w:type="dxa" w:w="120"/>
            </w:tcMar>
            <w:vAlign w:val="center"/>
          </w:tcPr>
          <w:p>
            <w:r>
              <w:rPr>
                <w:sz w:val="19"/>
                <w:szCs w:val="19"/>
              </w:rPr>
              <w:t xml:space="preserve">D</w:t>
            </w:r>
          </w:p>
        </w:tc>
        <w:tc>
          <w:tcPr>
            <w:tcW w:type="dxa" w:w="4488"/>
            <w:shd w:fill="f2f3f5" w:val="clear"/>
            <w:tcMar>
              <w:top w:type="dxa" w:w="80"/>
              <w:left w:type="dxa" w:w="120"/>
              <w:bottom w:type="dxa" w:w="80"/>
              <w:right w:type="dxa" w:w="120"/>
            </w:tcMar>
            <w:vAlign w:val="center"/>
          </w:tcPr>
          <w:p>
            <w:r>
              <w:rPr>
                <w:sz w:val="19"/>
                <w:szCs w:val="19"/>
              </w:rPr>
              <w:t xml:space="preserve">주장·추정. 검증 불가</w:t>
            </w:r>
          </w:p>
        </w:tc>
        <w:tc>
          <w:tcPr>
            <w:tcW w:type="dxa" w:w="3927"/>
            <w:shd w:fill="f2f3f5" w:val="clear"/>
            <w:tcMar>
              <w:top w:type="dxa" w:w="80"/>
              <w:left w:type="dxa" w:w="120"/>
              <w:bottom w:type="dxa" w:w="80"/>
              <w:right w:type="dxa" w:w="120"/>
            </w:tcMar>
            <w:vAlign w:val="center"/>
          </w:tcPr>
          <w:p>
            <w:r>
              <w:rPr>
                <w:sz w:val="19"/>
                <w:szCs w:val="19"/>
              </w:rPr>
              <w:t xml:space="preserve">본 문서에서 사용하지 않음</w:t>
            </w:r>
          </w:p>
        </w:tc>
      </w:tr>
    </w:tbl>
    <w:p>
      <w:pPr>
        <w:spacing w:after="80"/>
      </w:pPr>
    </w:p>
    <w:tbl>
      <w:tblPr>
        <w:tblW w:type="pct" w:w="100%"/>
        <w:tblBorders>
          <w:top w:val="single" w:color="d68910" w:sz="4"/>
          <w:left w:val="single" w:color="d68910" w:sz="4"/>
          <w:bottom w:val="single" w:color="d68910" w:sz="4"/>
          <w:right w:val="single" w:color="d68910" w:sz="4"/>
          <w:insideH w:val="none" w:color="FFFFFF" w:sz="0"/>
          <w:insideV w:val="none" w:color="FFFFFF" w:sz="0"/>
        </w:tblBorders>
      </w:tblPr>
      <w:tblGrid>
        <w:gridCol w:w="100"/>
      </w:tblGrid>
      <w:tr>
        <w:tc>
          <w:tcPr>
            <w:shd w:fill="FFF7EC" w:val="clear"/>
            <w:tcMar>
              <w:top w:type="dxa" w:w="140"/>
              <w:left w:type="dxa" w:w="180"/>
              <w:bottom w:type="dxa" w:w="140"/>
              <w:right w:type="dxa" w:w="180"/>
            </w:tcMar>
          </w:tcPr>
          <w:p>
            <w:pPr>
              <w:spacing w:line="280"/>
            </w:pPr>
            <w:r>
              <w:rPr>
                <w:color w:val="5a4a20"/>
                <w:sz w:val="20"/>
                <w:szCs w:val="20"/>
              </w:rPr>
              <w:t xml:space="preserve">⚠️ 문제 E(디지털 콘텐츠·제로클릭 대응) 관련 안내 — 수업자료 2쪽은 "자료 폴더에 있던 10~11강(AEO: AI 검색엔진 최적화)은 시장분석→캠페인 설계 흐름과 별개인 기술적 SEO 트랙이라 이번 정리에서 제외했습니다"라고 명시하고 있습니다. 즉 이 수업자료의 정규 5강 프레임 안에는 AEO를 직접 다루는 렉처가 없습니다. 그래서 문제 E는 자료 안에서 가장 가까운 세 개념 — PESTEL의 Technological 축, 5 Forces의 대체재의 위협, 4C의 Channel — 로 우회 적용했습니다. 이 점을 해당 섹션 서두에 다시 밝힙니다.</w:t>
            </w:r>
          </w:p>
        </w:tc>
      </w:tr>
    </w:tbl>
    <w:p>
      <w:r>
        <w:br w:type="page"/>
      </w:r>
    </w:p>
    <w:p>
      <w:pPr>
        <w:pStyle w:val="Heading1"/>
        <w:pBdr>
          <w:bottom w:val="single" w:color="1f3a5f" w:sz="12" w:space="4"/>
        </w:pBdr>
        <w:spacing w:after="160" w:before="360"/>
      </w:pPr>
      <w:r>
        <w:rPr>
          <w:b/>
          <w:bCs/>
          <w:color w:val="1f3a5f"/>
        </w:rPr>
        <w:t xml:space="preserve">문제 A — 헤리티지 서사가 끊겼는데, 소비자 인식은 안 끊겼다</w:t>
      </w:r>
    </w:p>
    <w:p>
      <w:pPr>
        <w:pStyle w:val="Heading2"/>
        <w:spacing w:after="120" w:before="260"/>
      </w:pPr>
      <w:r>
        <w:rPr>
          <w:b/>
          <w:bCs/>
          <w:color w:val="6b7280"/>
        </w:rPr>
        <w:t xml:space="preserve">문제 현상 (원문 그대로)</w:t>
      </w:r>
    </w:p>
    <w:p>
      <w:pPr>
        <w:pStyle w:val="ListParagraph"/>
        <w:numPr>
          <w:ilvl w:val="0"/>
          <w:numId w:val="2"/>
        </w:numPr>
        <w:spacing w:after="80" w:line="290"/>
      </w:pPr>
      <w:r>
        <w:rPr>
          <w:sz w:val="21"/>
          <w:szCs w:val="21"/>
        </w:rPr>
        <w:t xml:space="preserve">국내 브랜드 검색지수: 6.903 → 5.251 (2022→2023, -23.9%), 이듬해 -38.5%(5년 중 최대 낙폭)</w:t>
      </w:r>
    </w:p>
    <w:p>
      <w:pPr>
        <w:pStyle w:val="ListParagraph"/>
        <w:numPr>
          <w:ilvl w:val="0"/>
          <w:numId w:val="2"/>
        </w:numPr>
        <w:spacing w:after="80" w:line="290"/>
      </w:pPr>
      <w:r>
        <w:rPr>
          <w:sz w:val="21"/>
          <w:szCs w:val="21"/>
        </w:rPr>
        <w:t xml:space="preserve">브랜드 검색 대비 '이니스프리 제주' 단독 검색 비중은 2021년 0.34%에서 2024년 0.53% 정점, 2025년 0.52% 보합 — 브랜드 전체보다 오래 버텼다(비중 유지는 분모(브랜드 검색) 붕괴 효과)</w:t>
      </w:r>
    </w:p>
    <w:p>
      <w:pPr>
        <w:pStyle w:val="ListParagraph"/>
        <w:numPr>
          <w:ilvl w:val="0"/>
          <w:numId w:val="2"/>
        </w:numPr>
        <w:spacing w:after="80" w:line="290"/>
      </w:pPr>
      <w:r>
        <w:rPr>
          <w:sz w:val="21"/>
          <w:szCs w:val="21"/>
        </w:rPr>
        <w:t xml:space="preserve">회사가 집행한 메타 광고 220건 전수조사 결과, '제주'나 헤리티지 서사를 언급하는 광고는 0건</w:t>
      </w:r>
    </w:p>
    <w:p>
      <w:pPr>
        <w:pStyle w:val="ListParagraph"/>
        <w:numPr>
          <w:ilvl w:val="0"/>
          <w:numId w:val="2"/>
        </w:numPr>
        <w:spacing w:after="80" w:line="290"/>
      </w:pPr>
      <w:r>
        <w:rPr>
          <w:sz w:val="21"/>
          <w:szCs w:val="21"/>
        </w:rPr>
        <w:t xml:space="preserve">소비자 반응(디자인나침반 2023-02-22): "제주 비자림의 짙은 녹음이 사라졌다", "헤리티지가 안 보인다", "IT회사 로고 같다"</w:t>
      </w:r>
    </w:p>
    <w:p>
      <w:pPr>
        <w:pStyle w:val="ListParagraph"/>
        <w:numPr>
          <w:ilvl w:val="0"/>
          <w:numId w:val="2"/>
        </w:numPr>
        <w:spacing w:after="80" w:line="290"/>
      </w:pPr>
      <w:r>
        <w:rPr>
          <w:sz w:val="21"/>
          <w:szCs w:val="21"/>
        </w:rPr>
        <w:t xml:space="preserve">매드타임스(2023-06-27): "너무 못생겨서 충격", "모더나 스티커 같음"</w:t>
      </w:r>
    </w:p>
    <w:p>
      <w:pPr>
        <w:pStyle w:val="Heading2"/>
        <w:spacing w:after="120" w:before="260"/>
      </w:pPr>
      <w:r>
        <w:rPr>
          <w:b/>
          <w:bCs/>
          <w:color w:val="2a7f8e"/>
        </w:rPr>
        <w:t xml:space="preserve">적용 프레임 — 14강 포지셔닝 &amp; 가치제안</w:t>
      </w:r>
    </w:p>
    <w:p>
      <w:pPr>
        <w:spacing w:after="140" w:line="300"/>
      </w:pPr>
      <w:r>
        <w:rPr>
          <w:sz w:val="21"/>
          <w:szCs w:val="21"/>
        </w:rPr>
        <w:t xml:space="preserve">수업자료는 포지셔닝을 '제품을 바꾸는 게 아니라 고객의 마음속 위치를 정하는 것'으로 정의하고, 통과해야 할 3원칙(차별성·관련성·신뢰성)과 '약속에는 믿을 근거(RTB)가 따라야 한다'는 원칙을 제시합니다. THE NEW ISLE을 이 틀로 진단하면:</w:t>
      </w:r>
    </w:p>
    <w:tbl>
      <w:tblPr>
        <w:tblW w:type="dxa" w:w="9350"/>
        <w:tblBorders>
          <w:top w:val="single" w:color="CFD3D8" w:sz="4"/>
          <w:left w:val="single" w:color="CFD3D8" w:sz="4"/>
          <w:bottom w:val="single" w:color="CFD3D8" w:sz="4"/>
          <w:right w:val="single" w:color="CFD3D8" w:sz="4"/>
          <w:insideH w:val="single" w:color="E3E6EA" w:sz="4"/>
          <w:insideV w:val="single" w:color="E3E6EA" w:sz="4"/>
        </w:tblBorders>
      </w:tblPr>
      <w:tblGrid>
        <w:gridCol w:w="1496"/>
        <w:gridCol w:w="3179"/>
        <w:gridCol w:w="4675"/>
      </w:tblGrid>
      <w:tr>
        <w:trPr>
          <w:tblHeader/>
        </w:trPr>
        <w:tc>
          <w:tcPr>
            <w:tcW w:type="dxa" w:w="1496"/>
            <w:shd w:fill="1f3a5f" w:val="clear"/>
            <w:tcMar>
              <w:top w:type="dxa" w:w="90"/>
              <w:left w:type="dxa" w:w="120"/>
              <w:bottom w:type="dxa" w:w="90"/>
              <w:right w:type="dxa" w:w="120"/>
            </w:tcMar>
            <w:vAlign w:val="center"/>
          </w:tcPr>
          <w:p>
            <w:pPr>
              <w:jc w:val="left"/>
            </w:pPr>
            <w:r>
              <w:rPr>
                <w:b/>
                <w:bCs/>
                <w:color w:val="FFFFFF"/>
                <w:sz w:val="19"/>
                <w:szCs w:val="19"/>
              </w:rPr>
              <w:t xml:space="preserve">원칙</w:t>
            </w:r>
          </w:p>
        </w:tc>
        <w:tc>
          <w:tcPr>
            <w:tcW w:type="dxa" w:w="3179"/>
            <w:shd w:fill="1f3a5f" w:val="clear"/>
            <w:tcMar>
              <w:top w:type="dxa" w:w="90"/>
              <w:left w:type="dxa" w:w="120"/>
              <w:bottom w:type="dxa" w:w="90"/>
              <w:right w:type="dxa" w:w="120"/>
            </w:tcMar>
            <w:vAlign w:val="center"/>
          </w:tcPr>
          <w:p>
            <w:pPr>
              <w:jc w:val="left"/>
            </w:pPr>
            <w:r>
              <w:rPr>
                <w:b/>
                <w:bCs/>
                <w:color w:val="FFFFFF"/>
                <w:sz w:val="19"/>
                <w:szCs w:val="19"/>
              </w:rPr>
              <w:t xml:space="preserve">질문</w:t>
            </w:r>
          </w:p>
        </w:tc>
        <w:tc>
          <w:tcPr>
            <w:tcW w:type="dxa" w:w="4675"/>
            <w:shd w:fill="1f3a5f" w:val="clear"/>
            <w:tcMar>
              <w:top w:type="dxa" w:w="90"/>
              <w:left w:type="dxa" w:w="120"/>
              <w:bottom w:type="dxa" w:w="90"/>
              <w:right w:type="dxa" w:w="120"/>
            </w:tcMar>
            <w:vAlign w:val="center"/>
          </w:tcPr>
          <w:p>
            <w:pPr>
              <w:jc w:val="left"/>
            </w:pPr>
            <w:r>
              <w:rPr>
                <w:b/>
                <w:bCs/>
                <w:color w:val="FFFFFF"/>
                <w:sz w:val="19"/>
                <w:szCs w:val="19"/>
              </w:rPr>
              <w:t xml:space="preserve">THE NEW ISLE 진단</w:t>
            </w:r>
          </w:p>
        </w:tc>
      </w:tr>
      <w:tr>
        <w:tc>
          <w:tcPr>
            <w:tcW w:type="dxa" w:w="1496"/>
            <w:shd w:fill="FFFFFF" w:val="clear"/>
            <w:tcMar>
              <w:top w:type="dxa" w:w="80"/>
              <w:left w:type="dxa" w:w="120"/>
              <w:bottom w:type="dxa" w:w="80"/>
              <w:right w:type="dxa" w:w="120"/>
            </w:tcMar>
            <w:vAlign w:val="center"/>
          </w:tcPr>
          <w:p>
            <w:r>
              <w:rPr>
                <w:sz w:val="19"/>
                <w:szCs w:val="19"/>
              </w:rPr>
              <w:t xml:space="preserve">차별성</w:t>
            </w:r>
          </w:p>
        </w:tc>
        <w:tc>
          <w:tcPr>
            <w:tcW w:type="dxa" w:w="3179"/>
            <w:shd w:fill="FFFFFF" w:val="clear"/>
            <w:tcMar>
              <w:top w:type="dxa" w:w="80"/>
              <w:left w:type="dxa" w:w="120"/>
              <w:bottom w:type="dxa" w:w="80"/>
              <w:right w:type="dxa" w:w="120"/>
            </w:tcMar>
            <w:vAlign w:val="center"/>
          </w:tcPr>
          <w:p>
            <w:r>
              <w:rPr>
                <w:sz w:val="19"/>
                <w:szCs w:val="19"/>
              </w:rPr>
              <w:t xml:space="preserve">경쟁자와 뚜렷이 다른가?</w:t>
            </w:r>
          </w:p>
        </w:tc>
        <w:tc>
          <w:tcPr>
            <w:tcW w:type="dxa" w:w="4675"/>
            <w:shd w:fill="FFFFFF" w:val="clear"/>
            <w:tcMar>
              <w:top w:type="dxa" w:w="80"/>
              <w:left w:type="dxa" w:w="120"/>
              <w:bottom w:type="dxa" w:w="80"/>
              <w:right w:type="dxa" w:w="120"/>
            </w:tcMar>
            <w:vAlign w:val="center"/>
          </w:tcPr>
          <w:p>
            <w:r>
              <w:rPr>
                <w:sz w:val="19"/>
                <w:szCs w:val="19"/>
              </w:rPr>
              <w:t xml:space="preserve">다름 — 가상 세계관 자체는 경쟁사와 구분됨</w:t>
            </w:r>
          </w:p>
        </w:tc>
      </w:tr>
      <w:tr>
        <w:tc>
          <w:tcPr>
            <w:tcW w:type="dxa" w:w="1496"/>
            <w:shd w:fill="f2f3f5" w:val="clear"/>
            <w:tcMar>
              <w:top w:type="dxa" w:w="80"/>
              <w:left w:type="dxa" w:w="120"/>
              <w:bottom w:type="dxa" w:w="80"/>
              <w:right w:type="dxa" w:w="120"/>
            </w:tcMar>
            <w:vAlign w:val="center"/>
          </w:tcPr>
          <w:p>
            <w:r>
              <w:rPr>
                <w:sz w:val="19"/>
                <w:szCs w:val="19"/>
              </w:rPr>
              <w:t xml:space="preserve">관련성</w:t>
            </w:r>
          </w:p>
        </w:tc>
        <w:tc>
          <w:tcPr>
            <w:tcW w:type="dxa" w:w="3179"/>
            <w:shd w:fill="f2f3f5" w:val="clear"/>
            <w:tcMar>
              <w:top w:type="dxa" w:w="80"/>
              <w:left w:type="dxa" w:w="120"/>
              <w:bottom w:type="dxa" w:w="80"/>
              <w:right w:type="dxa" w:w="120"/>
            </w:tcMar>
            <w:vAlign w:val="center"/>
          </w:tcPr>
          <w:p>
            <w:r>
              <w:rPr>
                <w:sz w:val="19"/>
                <w:szCs w:val="19"/>
              </w:rPr>
              <w:t xml:space="preserve">고객이 실제로 원하는 것인가?</w:t>
            </w:r>
          </w:p>
        </w:tc>
        <w:tc>
          <w:tcPr>
            <w:tcW w:type="dxa" w:w="4675"/>
            <w:shd w:fill="f2f3f5" w:val="clear"/>
            <w:tcMar>
              <w:top w:type="dxa" w:w="80"/>
              <w:left w:type="dxa" w:w="120"/>
              <w:bottom w:type="dxa" w:w="80"/>
              <w:right w:type="dxa" w:w="120"/>
            </w:tcMar>
            <w:vAlign w:val="center"/>
          </w:tcPr>
          <w:p>
            <w:r>
              <w:rPr>
                <w:sz w:val="19"/>
                <w:szCs w:val="19"/>
              </w:rPr>
              <w:t xml:space="preserve">어긋남 — 소비자의 제주 연상은 브랜드 전체보다 오래 버팀(0.34%→0.52%, 2024년 0.53% 정점)</w:t>
            </w:r>
          </w:p>
        </w:tc>
      </w:tr>
      <w:tr>
        <w:tc>
          <w:tcPr>
            <w:tcW w:type="dxa" w:w="1496"/>
            <w:shd w:fill="FFFFFF" w:val="clear"/>
            <w:tcMar>
              <w:top w:type="dxa" w:w="80"/>
              <w:left w:type="dxa" w:w="120"/>
              <w:bottom w:type="dxa" w:w="80"/>
              <w:right w:type="dxa" w:w="120"/>
            </w:tcMar>
            <w:vAlign w:val="center"/>
          </w:tcPr>
          <w:p>
            <w:r>
              <w:rPr>
                <w:sz w:val="19"/>
                <w:szCs w:val="19"/>
              </w:rPr>
              <w:t xml:space="preserve">신뢰성(RTB)</w:t>
            </w:r>
          </w:p>
        </w:tc>
        <w:tc>
          <w:tcPr>
            <w:tcW w:type="dxa" w:w="3179"/>
            <w:shd w:fill="FFFFFF" w:val="clear"/>
            <w:tcMar>
              <w:top w:type="dxa" w:w="80"/>
              <w:left w:type="dxa" w:w="120"/>
              <w:bottom w:type="dxa" w:w="80"/>
              <w:right w:type="dxa" w:w="120"/>
            </w:tcMar>
            <w:vAlign w:val="center"/>
          </w:tcPr>
          <w:p>
            <w:r>
              <w:rPr>
                <w:sz w:val="19"/>
                <w:szCs w:val="19"/>
              </w:rPr>
              <w:t xml:space="preserve">우리가 증명할 근거가 있는가?</w:t>
            </w:r>
          </w:p>
        </w:tc>
        <w:tc>
          <w:tcPr>
            <w:tcW w:type="dxa" w:w="4675"/>
            <w:shd w:fill="FFFFFF" w:val="clear"/>
            <w:tcMar>
              <w:top w:type="dxa" w:w="80"/>
              <w:left w:type="dxa" w:w="120"/>
              <w:bottom w:type="dxa" w:w="80"/>
              <w:right w:type="dxa" w:w="120"/>
            </w:tcMar>
            <w:vAlign w:val="center"/>
          </w:tcPr>
          <w:p>
            <w:r>
              <w:rPr>
                <w:sz w:val="19"/>
                <w:szCs w:val="19"/>
              </w:rPr>
              <w:t xml:space="preserve">부재 — 새 약속을 뒷받침하는 콘텐츠가 광고 220건 중 0건</w:t>
            </w:r>
          </w:p>
        </w:tc>
      </w:tr>
    </w:tbl>
    <w:p>
      <w:pPr>
        <w:spacing w:after="140" w:line="300"/>
      </w:pPr>
      <w:r>
        <w:rPr>
          <w:sz w:val="21"/>
          <w:szCs w:val="21"/>
        </w:rPr>
        <w:t xml:space="preserve">수업자료의 리포지셔닝 개념도 정확히 들어맞습니다: "한번 자리잡은 인식은 바꾸기 매우 어렵다." 제주는 20년간 소비자 머릿속에 박힌 인식이었고, 이를 광고에서 완전히 제거하는 방식(0건)으로는 그 인식이 지워지지 않았습니다 — 오히려 소비자 쪽 연상 비중만 계속 올라갔습니다.</w:t>
      </w:r>
    </w:p>
    <w:p>
      <w:pPr>
        <w:spacing w:after="60" w:before="120"/>
        <w:jc w:val="center"/>
      </w:pPr>
      <w:r>
        <w:drawing>
          <wp:inline distT="0" distB="0" distL="0" distR="0">
            <wp:extent cx="53340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133725"/>
                    </a:xfrm>
                    <a:prstGeom prst="rect">
                      <a:avLst/>
                    </a:prstGeom>
                  </pic:spPr>
                </pic:pic>
              </a:graphicData>
            </a:graphic>
          </wp:inline>
        </w:drawing>
      </w:r>
    </w:p>
    <w:p>
      <w:pPr>
        <w:spacing w:after="200"/>
        <w:jc w:val="center"/>
      </w:pPr>
      <w:r>
        <w:rPr>
          <w:i/>
          <w:iCs/>
          <w:color w:val="808080"/>
          <w:sz w:val="17"/>
          <w:szCs w:val="17"/>
        </w:rPr>
        <w:t xml:space="preserve">회사는 제주를 뗐지만, 소비자의 제주 연상은 브랜드 전체보다 오래 버텼다 — 근거등급 B (네이버 데이터랩)</w:t>
      </w:r>
    </w:p>
    <w:p>
      <w:pPr>
        <w:pStyle w:val="Heading2"/>
        <w:spacing w:after="120" w:before="260"/>
      </w:pPr>
      <w:r>
        <w:rPr>
          <w:b/>
          <w:bCs/>
          <w:color w:val="2a7f8e"/>
        </w:rPr>
        <w:t xml:space="preserve">해결 전략</w:t>
      </w:r>
    </w:p>
    <w:p>
      <w:pPr>
        <w:spacing w:after="80" w:before="180"/>
      </w:pPr>
      <w:r>
        <w:rPr>
          <w:b/>
          <w:bCs/>
          <w:sz w:val="22"/>
          <w:szCs w:val="22"/>
        </w:rPr>
        <w:t xml:space="preserve">1. 포지셔닝 문장 재작성 — 헤리티지를 'RTB(신뢰의 근거)'로 재편입</w:t>
      </w:r>
    </w:p>
    <w:p>
      <w:pPr>
        <w:spacing w:after="140" w:line="300"/>
      </w:pPr>
      <w:r>
        <w:rPr>
          <w:sz w:val="21"/>
          <w:szCs w:val="21"/>
        </w:rPr>
        <w:t xml:space="preserve">수업자료의 포지셔닝 문장 공식 — '[타겟]에게, [카테고리]인 우리 브랜드는 [핵심 혜택]을 줍니다. 왜냐하면 [근거]이기 때문이고, [경쟁자]와 달리 [차별점]이 있습니다' — 을 그대로 적용한 예시 문장입니다. 실제 확정 전 별도 소비자 리서치로 재검증이 필요합니다.</w:t>
      </w:r>
    </w:p>
    <w:tbl>
      <w:tblPr>
        <w:tblW w:type="pct" w:w="100%"/>
        <w:tblBorders>
          <w:top w:val="single" w:color="2a7f8e" w:sz="4"/>
          <w:left w:val="single" w:color="2a7f8e" w:sz="4"/>
          <w:bottom w:val="single" w:color="2a7f8e" w:sz="4"/>
          <w:right w:val="single" w:color="2a7f8e" w:sz="4"/>
          <w:insideH w:val="none" w:color="FFFFFF" w:sz="0"/>
          <w:insideV w:val="none" w:color="FFFFFF" w:sz="0"/>
        </w:tblBorders>
      </w:tblPr>
      <w:tblGrid>
        <w:gridCol w:w="100"/>
      </w:tblGrid>
      <w:tr>
        <w:tc>
          <w:tcPr>
            <w:shd w:fill="FFF7EC" w:val="clear"/>
            <w:tcMar>
              <w:top w:type="dxa" w:w="140"/>
              <w:left w:type="dxa" w:w="180"/>
              <w:bottom w:type="dxa" w:w="140"/>
              <w:right w:type="dxa" w:w="180"/>
            </w:tcMar>
          </w:tcPr>
          <w:p>
            <w:pPr>
              <w:spacing w:line="280"/>
            </w:pPr>
            <w:r>
              <w:rPr>
                <w:color w:val="5a4a20"/>
                <w:sz w:val="20"/>
                <w:szCs w:val="20"/>
              </w:rPr>
              <w:t xml:space="preserve">"제주 헤리티지를 여전히 기억하는 자연주의 소비자에게, 제주 원료 기반 스킨케어인 이니스프리는 '20년간 검증된 자연 원료의 신뢰'를 줍니다. 왜냐하면 제주 화산송이·비자림 원료 사용 이력이 있고 소비자의 제주 연상이 여전히 살아있기 때문이고(연관 검색 비중 0.52%(2025, '이니스프리 제주' 단독), 브랜드 전체 감소폭보다 완만), 성분 트렌드만 좇는 경쟁 브랜드와 달리 실제 산지 스토리와 데이터를 갖고 있습니다.</w:t>
            </w:r>
          </w:p>
        </w:tc>
      </w:tr>
    </w:tbl>
    <w:p>
      <w:pPr>
        <w:spacing w:after="80" w:before="180"/>
      </w:pPr>
      <w:r>
        <w:rPr>
          <w:b/>
          <w:bCs/>
          <w:sz w:val="22"/>
          <w:szCs w:val="22"/>
        </w:rPr>
        <w:t xml:space="preserve">2. RTB 표를 만들어 광고 소재에 강제 반영</w:t>
      </w:r>
    </w:p>
    <w:p>
      <w:pPr>
        <w:spacing w:after="140" w:line="300"/>
      </w:pPr>
      <w:r>
        <w:rPr>
          <w:sz w:val="21"/>
          <w:szCs w:val="21"/>
        </w:rPr>
        <w:t xml:space="preserve">수업자료 표 형식(약속-근거)을 그대로 이니스프리에 적용:</w:t>
      </w:r>
    </w:p>
    <w:tbl>
      <w:tblPr>
        <w:tblW w:type="dxa" w:w="9350"/>
        <w:tblBorders>
          <w:top w:val="single" w:color="CFD3D8" w:sz="4"/>
          <w:left w:val="single" w:color="CFD3D8" w:sz="4"/>
          <w:bottom w:val="single" w:color="CFD3D8" w:sz="4"/>
          <w:right w:val="single" w:color="CFD3D8" w:sz="4"/>
          <w:insideH w:val="single" w:color="E3E6EA" w:sz="4"/>
          <w:insideV w:val="single" w:color="E3E6EA" w:sz="4"/>
        </w:tblBorders>
      </w:tblPr>
      <w:tblGrid>
        <w:gridCol w:w="2992"/>
        <w:gridCol w:w="6358"/>
      </w:tblGrid>
      <w:tr>
        <w:trPr>
          <w:tblHeader/>
        </w:trPr>
        <w:tc>
          <w:tcPr>
            <w:tcW w:type="dxa" w:w="2992"/>
            <w:shd w:fill="1f3a5f" w:val="clear"/>
            <w:tcMar>
              <w:top w:type="dxa" w:w="90"/>
              <w:left w:type="dxa" w:w="120"/>
              <w:bottom w:type="dxa" w:w="90"/>
              <w:right w:type="dxa" w:w="120"/>
            </w:tcMar>
            <w:vAlign w:val="center"/>
          </w:tcPr>
          <w:p>
            <w:pPr>
              <w:jc w:val="left"/>
            </w:pPr>
            <w:r>
              <w:rPr>
                <w:b/>
                <w:bCs/>
                <w:color w:val="FFFFFF"/>
                <w:sz w:val="19"/>
                <w:szCs w:val="19"/>
              </w:rPr>
              <w:t xml:space="preserve">약속</w:t>
            </w:r>
          </w:p>
        </w:tc>
        <w:tc>
          <w:tcPr>
            <w:tcW w:type="dxa" w:w="6358"/>
            <w:shd w:fill="1f3a5f" w:val="clear"/>
            <w:tcMar>
              <w:top w:type="dxa" w:w="90"/>
              <w:left w:type="dxa" w:w="120"/>
              <w:bottom w:type="dxa" w:w="90"/>
              <w:right w:type="dxa" w:w="120"/>
            </w:tcMar>
            <w:vAlign w:val="center"/>
          </w:tcPr>
          <w:p>
            <w:pPr>
              <w:jc w:val="left"/>
            </w:pPr>
            <w:r>
              <w:rPr>
                <w:b/>
                <w:bCs/>
                <w:color w:val="FFFFFF"/>
                <w:sz w:val="19"/>
                <w:szCs w:val="19"/>
              </w:rPr>
              <w:t xml:space="preserve">근거(RTB)</w:t>
            </w:r>
          </w:p>
        </w:tc>
      </w:tr>
      <w:tr>
        <w:tc>
          <w:tcPr>
            <w:tcW w:type="dxa" w:w="2992"/>
            <w:shd w:fill="FFFFFF" w:val="clear"/>
            <w:tcMar>
              <w:top w:type="dxa" w:w="80"/>
              <w:left w:type="dxa" w:w="120"/>
              <w:bottom w:type="dxa" w:w="80"/>
              <w:right w:type="dxa" w:w="120"/>
            </w:tcMar>
            <w:vAlign w:val="center"/>
          </w:tcPr>
          <w:p>
            <w:r>
              <w:rPr>
                <w:sz w:val="19"/>
                <w:szCs w:val="19"/>
              </w:rPr>
              <w:t xml:space="preserve">"제주 원료를 씁니다"</w:t>
            </w:r>
          </w:p>
        </w:tc>
        <w:tc>
          <w:tcPr>
            <w:tcW w:type="dxa" w:w="6358"/>
            <w:shd w:fill="FFFFFF" w:val="clear"/>
            <w:tcMar>
              <w:top w:type="dxa" w:w="80"/>
              <w:left w:type="dxa" w:w="120"/>
              <w:bottom w:type="dxa" w:w="80"/>
              <w:right w:type="dxa" w:w="120"/>
            </w:tcMar>
            <w:vAlign w:val="center"/>
          </w:tcPr>
          <w:p>
            <w:r>
              <w:rPr>
                <w:sz w:val="19"/>
                <w:szCs w:val="19"/>
              </w:rPr>
              <w:t xml:space="preserve">제주 화산송이·비자림 원료 사용 20년 이력</w:t>
            </w:r>
          </w:p>
        </w:tc>
      </w:tr>
      <w:tr>
        <w:tc>
          <w:tcPr>
            <w:tcW w:type="dxa" w:w="2992"/>
            <w:shd w:fill="f2f3f5" w:val="clear"/>
            <w:tcMar>
              <w:top w:type="dxa" w:w="80"/>
              <w:left w:type="dxa" w:w="120"/>
              <w:bottom w:type="dxa" w:w="80"/>
              <w:right w:type="dxa" w:w="120"/>
            </w:tcMar>
            <w:vAlign w:val="center"/>
          </w:tcPr>
          <w:p>
            <w:r>
              <w:rPr>
                <w:sz w:val="19"/>
                <w:szCs w:val="19"/>
              </w:rPr>
              <w:t xml:space="preserve">"소비자도 여전히 기억합니다"</w:t>
            </w:r>
          </w:p>
        </w:tc>
        <w:tc>
          <w:tcPr>
            <w:tcW w:type="dxa" w:w="6358"/>
            <w:shd w:fill="f2f3f5" w:val="clear"/>
            <w:tcMar>
              <w:top w:type="dxa" w:w="80"/>
              <w:left w:type="dxa" w:w="120"/>
              <w:bottom w:type="dxa" w:w="80"/>
              <w:right w:type="dxa" w:w="120"/>
            </w:tcMar>
            <w:vAlign w:val="center"/>
          </w:tcPr>
          <w:p>
            <w:r>
              <w:rPr>
                <w:sz w:val="19"/>
                <w:szCs w:val="19"/>
              </w:rPr>
              <w:t xml:space="preserve">제주 연관 검색 비중 0.52%(2025, '이니스프리 제주' 단독) — 누적 기준 완만한 감소(브랜드보다 오래 버팀)</w:t>
            </w:r>
          </w:p>
        </w:tc>
      </w:tr>
      <w:tr>
        <w:tc>
          <w:tcPr>
            <w:tcW w:type="dxa" w:w="2992"/>
            <w:shd w:fill="FFFFFF" w:val="clear"/>
            <w:tcMar>
              <w:top w:type="dxa" w:w="80"/>
              <w:left w:type="dxa" w:w="120"/>
              <w:bottom w:type="dxa" w:w="80"/>
              <w:right w:type="dxa" w:w="120"/>
            </w:tcMar>
            <w:vAlign w:val="center"/>
          </w:tcPr>
          <w:p>
            <w:r>
              <w:rPr>
                <w:sz w:val="19"/>
                <w:szCs w:val="19"/>
              </w:rPr>
              <w:t xml:space="preserve">"헤리티지를 계승합니다"</w:t>
            </w:r>
          </w:p>
        </w:tc>
        <w:tc>
          <w:tcPr>
            <w:tcW w:type="dxa" w:w="6358"/>
            <w:shd w:fill="FFFFFF" w:val="clear"/>
            <w:tcMar>
              <w:top w:type="dxa" w:w="80"/>
              <w:left w:type="dxa" w:w="120"/>
              <w:bottom w:type="dxa" w:w="80"/>
              <w:right w:type="dxa" w:w="120"/>
            </w:tcMar>
            <w:vAlign w:val="center"/>
          </w:tcPr>
          <w:p>
            <w:r>
              <w:rPr>
                <w:sz w:val="19"/>
                <w:szCs w:val="19"/>
              </w:rPr>
              <w:t xml:space="preserve">'제주 이니스프리하우스'(오설록 티뮤지엄 연계) 방문기가 리브랜딩과 무관하게 계속 유기적으로 발행 중</w:t>
            </w:r>
          </w:p>
        </w:tc>
      </w:tr>
    </w:tbl>
    <w:p>
      <w:pPr>
        <w:spacing w:after="80" w:before="180"/>
      </w:pPr>
      <w:r>
        <w:rPr>
          <w:b/>
          <w:bCs/>
          <w:sz w:val="22"/>
          <w:szCs w:val="22"/>
        </w:rPr>
        <w:t xml:space="preserve">3. 휴면고객 재활성화 캠페인 — 제주 연상을 유지 중인 이탈 고객부터</w:t>
      </w:r>
    </w:p>
    <w:p>
      <w:pPr>
        <w:spacing w:after="140" w:line="300"/>
      </w:pPr>
      <w:r>
        <w:rPr>
          <w:sz w:val="21"/>
          <w:szCs w:val="21"/>
        </w:rPr>
        <w:t xml:space="preserve">기존 팀 무드보드 시안 '이니스프리_캠페인_무드보드'(Reactivation Campaign, "오랜만이에요" 톤)가 이미 존재합니다. 할인 언어 대신 재회를 연상시키는 카피, 과거 구매 이력을 언급하는 개인화 카피가 정리돼 있어 신규 제작 없이 바로 활용 가능합니다.</w:t>
      </w:r>
    </w:p>
    <w:p>
      <w:pPr>
        <w:spacing w:after="80" w:before="180"/>
      </w:pPr>
      <w:r>
        <w:rPr>
          <w:b/>
          <w:bCs/>
          <w:sz w:val="22"/>
          <w:szCs w:val="22"/>
        </w:rPr>
        <w:t xml:space="preserve">4. 크리에이티브 감사 KPI화</w:t>
      </w:r>
    </w:p>
    <w:p>
      <w:pPr>
        <w:spacing w:after="140" w:line="300"/>
      </w:pPr>
      <w:r>
        <w:rPr>
          <w:sz w:val="21"/>
          <w:szCs w:val="21"/>
        </w:rPr>
        <w:t xml:space="preserve">향후 집행 광고 소재 중 헤리티지·산지 언급 비율을 KPI로 관리합니다(현재 0/220건). 0건이라는 사실 자체가 문제 진단의 핵심 근거였던 만큼, 이 숫자를 앞으로 추적 가능한 지표로 전환합니다.</w:t>
      </w:r>
    </w:p>
    <w:p>
      <w:pPr>
        <w:spacing w:after="200" w:before="80"/>
      </w:pPr>
      <w:r>
        <w:rPr>
          <w:i/>
          <w:iCs/>
          <w:color w:val="808080"/>
          <w:sz w:val="17"/>
          <w:szCs w:val="17"/>
        </w:rPr>
        <w:t xml:space="preserve">출처: 최종결론.md 층1·층2, 근거검증_감사.md, 크리에이티브제안_근거매핑.md (근거등급 B — 팀 직접수집, 네이버 데이터랩·Meta 광고 라이브러리)</w:t>
      </w:r>
    </w:p>
    <w:p>
      <w:r>
        <w:br w:type="page"/>
      </w:r>
    </w:p>
    <w:p>
      <w:pPr>
        <w:pStyle w:val="Heading1"/>
        <w:pBdr>
          <w:bottom w:val="single" w:color="1f3a5f" w:sz="12" w:space="4"/>
        </w:pBdr>
        <w:spacing w:after="160" w:before="360"/>
      </w:pPr>
      <w:r>
        <w:rPr>
          <w:b/>
          <w:bCs/>
          <w:color w:val="1f3a5f"/>
        </w:rPr>
        <w:t xml:space="preserve">문제 B — 광고 투입이 인지도로 전환되지 않았고, 1년 만에 끊겼다</w:t>
      </w:r>
    </w:p>
    <w:p>
      <w:pPr>
        <w:pStyle w:val="Heading2"/>
        <w:spacing w:after="120" w:before="260"/>
      </w:pPr>
      <w:r>
        <w:rPr>
          <w:b/>
          <w:bCs/>
          <w:color w:val="6b7280"/>
        </w:rPr>
        <w:t xml:space="preserve">문제 현상 (원문 그대로)</w:t>
      </w:r>
    </w:p>
    <w:p>
      <w:pPr>
        <w:pStyle w:val="ListParagraph"/>
        <w:numPr>
          <w:ilvl w:val="0"/>
          <w:numId w:val="2"/>
        </w:numPr>
        <w:spacing w:after="80" w:line="290"/>
      </w:pPr>
      <w:r>
        <w:rPr>
          <w:sz w:val="21"/>
          <w:szCs w:val="21"/>
        </w:rPr>
        <w:t xml:space="preserve">2023년 광고선전비를 244억 → 345억(+41.6%)으로 늘렸다가, 2024년 다시 274억(-20.6%)으로 줄임</w:t>
      </w:r>
    </w:p>
    <w:p>
      <w:pPr>
        <w:pStyle w:val="ListParagraph"/>
        <w:numPr>
          <w:ilvl w:val="0"/>
          <w:numId w:val="2"/>
        </w:numPr>
        <w:spacing w:after="80" w:line="290"/>
      </w:pPr>
      <w:r>
        <w:rPr>
          <w:sz w:val="21"/>
          <w:szCs w:val="21"/>
        </w:rPr>
        <w:t xml:space="preserve">광고선전비와 브랜드 검색지수의 상관계수는 r=-0.03 — 사실상 무상관</w:t>
      </w:r>
    </w:p>
    <w:p>
      <w:pPr>
        <w:pStyle w:val="ListParagraph"/>
        <w:numPr>
          <w:ilvl w:val="0"/>
          <w:numId w:val="2"/>
        </w:numPr>
        <w:spacing w:after="80" w:line="290"/>
      </w:pPr>
      <w:r>
        <w:rPr>
          <w:sz w:val="21"/>
          <w:szCs w:val="21"/>
        </w:rPr>
        <w:t xml:space="preserve">같은 돈이 제품 검색과는 r=+0.69로 뚜렷하게 연결됨 — 개별 제품 판매 쪽으로만 흡수</w:t>
      </w:r>
    </w:p>
    <w:p>
      <w:pPr>
        <w:pStyle w:val="ListParagraph"/>
        <w:numPr>
          <w:ilvl w:val="0"/>
          <w:numId w:val="2"/>
        </w:numPr>
        <w:spacing w:after="80" w:line="290"/>
      </w:pPr>
      <w:r>
        <w:rPr>
          <w:sz w:val="21"/>
          <w:szCs w:val="21"/>
        </w:rPr>
        <w:t xml:space="preserve">광고비를 줄인 2024년, 브랜드 검색은 -38.5%로 5년 중 가장 크게 하락</w:t>
      </w:r>
    </w:p>
    <w:p>
      <w:pPr>
        <w:pStyle w:val="Heading2"/>
        <w:spacing w:after="120" w:before="260"/>
      </w:pPr>
      <w:r>
        <w:rPr>
          <w:b/>
          <w:bCs/>
          <w:color w:val="2a7f8e"/>
        </w:rPr>
        <w:t xml:space="preserve">적용 프레임 — 15강 퍼널 설계 &amp; 그로스해킹</w:t>
      </w:r>
    </w:p>
    <w:p>
      <w:pPr>
        <w:spacing w:after="140" w:line="300"/>
      </w:pPr>
      <w:r>
        <w:rPr>
          <w:sz w:val="21"/>
          <w:szCs w:val="21"/>
        </w:rPr>
        <w:t xml:space="preserve">수업자료는 퍼널을 '어느 관문에서 가장 많이 새는지 찾는 것'이라고 정의하고, '전부 조금씩 개선하지 말고 가장 많이 새는 한 곳부터 고친다'는 원칙, 그리고 그 우선순위를 매기는 ICE(Impact·Confidence·Ease) 프레임을 제시합니다. 이니스프리의 두 상관계수(r=-0.03 vs r=+0.69)는 그 자체로 병목 진단 결과입니다 — 광고비가 TOFU(브랜드 인지)를 전혀 움직이지 못하고 BOFU(개별 제품 전환)에서만 흡수되는 지점이 병목입니다.</w:t>
      </w:r>
    </w:p>
    <w:p>
      <w:pPr>
        <w:spacing w:after="140" w:line="300"/>
      </w:pPr>
      <w:r>
        <w:rPr>
          <w:sz w:val="21"/>
          <w:szCs w:val="21"/>
        </w:rPr>
        <w:t xml:space="preserve">또한 수업자료는 '그로스 루프는 광고비를 계속 부어야 굴러가는 선형 퍼널과 달리 스스로 굴러가는 바퀴'라고 설명하며, '루프가 돌기 전에 멈추면 성장도 멈춘다'고 경고합니다. 광고비를 1년 늘렸다가 곧바로 줄인 것은 이 루프가 자가 증식하기 전에 끊은 것에 해당합니다.</w:t>
      </w:r>
    </w:p>
    <w:p>
      <w:pPr>
        <w:spacing w:after="60" w:before="120"/>
        <w:jc w:val="center"/>
      </w:pPr>
      <w:r>
        <w:drawing>
          <wp:inline distT="0" distB="0" distL="0" distR="0">
            <wp:extent cx="53340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133725"/>
                    </a:xfrm>
                    <a:prstGeom prst="rect">
                      <a:avLst/>
                    </a:prstGeom>
                  </pic:spPr>
                </pic:pic>
              </a:graphicData>
            </a:graphic>
          </wp:inline>
        </w:drawing>
      </w:r>
    </w:p>
    <w:p>
      <w:pPr>
        <w:spacing w:after="200"/>
        <w:jc w:val="center"/>
      </w:pPr>
      <w:r>
        <w:rPr>
          <w:i/>
          <w:iCs/>
          <w:color w:val="808080"/>
          <w:sz w:val="17"/>
          <w:szCs w:val="17"/>
        </w:rPr>
        <w:t xml:space="preserve">광고비를 41.6% 늘려도 브랜드 검색은 늘지 않았다 — 근거등급 A(광고비)·B(검색지수)</w:t>
      </w:r>
    </w:p>
    <w:p>
      <w:pPr>
        <w:pStyle w:val="Heading2"/>
        <w:spacing w:after="120" w:before="260"/>
      </w:pPr>
      <w:r>
        <w:rPr>
          <w:b/>
          <w:bCs/>
          <w:color w:val="2a7f8e"/>
        </w:rPr>
        <w:t xml:space="preserve">해결 전략</w:t>
      </w:r>
    </w:p>
    <w:p>
      <w:pPr>
        <w:spacing w:after="80" w:before="180"/>
      </w:pPr>
      <w:r>
        <w:rPr>
          <w:b/>
          <w:bCs/>
          <w:sz w:val="22"/>
          <w:szCs w:val="22"/>
        </w:rPr>
        <w:t xml:space="preserve">1. 광고 예산의 퍼널 단계 배분을 명시화</w:t>
      </w:r>
    </w:p>
    <w:p>
      <w:pPr>
        <w:spacing w:after="140" w:line="300"/>
      </w:pPr>
      <w:r>
        <w:rPr>
          <w:sz w:val="21"/>
          <w:szCs w:val="21"/>
        </w:rPr>
        <w:t xml:space="preserve">현재 Meta 광고 220건은 100% 성과형(할인·순위·리뷰수 카피)으로, 전부 BOFU(구매 직전 전환)를 겨눕니다. TOFU(브랜드 스토리텔링) 전용 예산을 별도로 배정해, 지금처럼 '전환용 콘텐츠에 돈을 쓰고 브랜드 인지가 늘길 기대하는' 구조를 끊습니다.</w:t>
      </w:r>
    </w:p>
    <w:p>
      <w:pPr>
        <w:spacing w:after="80" w:before="180"/>
      </w:pPr>
      <w:r>
        <w:rPr>
          <w:b/>
          <w:bCs/>
          <w:sz w:val="22"/>
          <w:szCs w:val="22"/>
        </w:rPr>
        <w:t xml:space="preserve">2. ICE 스코어링으로 브랜드 인지 실험 우선순위화</w:t>
      </w:r>
    </w:p>
    <w:tbl>
      <w:tblPr>
        <w:tblW w:type="dxa" w:w="9350"/>
        <w:tblBorders>
          <w:top w:val="single" w:color="CFD3D8" w:sz="4"/>
          <w:left w:val="single" w:color="CFD3D8" w:sz="4"/>
          <w:bottom w:val="single" w:color="CFD3D8" w:sz="4"/>
          <w:right w:val="single" w:color="CFD3D8" w:sz="4"/>
          <w:insideH w:val="single" w:color="E3E6EA" w:sz="4"/>
          <w:insideV w:val="single" w:color="E3E6EA" w:sz="4"/>
        </w:tblBorders>
      </w:tblPr>
      <w:tblGrid>
        <w:gridCol w:w="1683"/>
        <w:gridCol w:w="3366"/>
        <w:gridCol w:w="4301"/>
      </w:tblGrid>
      <w:tr>
        <w:trPr>
          <w:tblHeader/>
        </w:trPr>
        <w:tc>
          <w:tcPr>
            <w:tcW w:type="dxa" w:w="1683"/>
            <w:shd w:fill="1f3a5f" w:val="clear"/>
            <w:tcMar>
              <w:top w:type="dxa" w:w="90"/>
              <w:left w:type="dxa" w:w="120"/>
              <w:bottom w:type="dxa" w:w="90"/>
              <w:right w:type="dxa" w:w="120"/>
            </w:tcMar>
            <w:vAlign w:val="center"/>
          </w:tcPr>
          <w:p>
            <w:pPr>
              <w:jc w:val="left"/>
            </w:pPr>
            <w:r>
              <w:rPr>
                <w:b/>
                <w:bCs/>
                <w:color w:val="FFFFFF"/>
                <w:sz w:val="19"/>
                <w:szCs w:val="19"/>
              </w:rPr>
              <w:t xml:space="preserve">요소</w:t>
            </w:r>
          </w:p>
        </w:tc>
        <w:tc>
          <w:tcPr>
            <w:tcW w:type="dxa" w:w="3366"/>
            <w:shd w:fill="1f3a5f" w:val="clear"/>
            <w:tcMar>
              <w:top w:type="dxa" w:w="90"/>
              <w:left w:type="dxa" w:w="120"/>
              <w:bottom w:type="dxa" w:w="90"/>
              <w:right w:type="dxa" w:w="120"/>
            </w:tcMar>
            <w:vAlign w:val="center"/>
          </w:tcPr>
          <w:p>
            <w:pPr>
              <w:jc w:val="left"/>
            </w:pPr>
            <w:r>
              <w:rPr>
                <w:b/>
                <w:bCs/>
                <w:color w:val="FFFFFF"/>
                <w:sz w:val="19"/>
                <w:szCs w:val="19"/>
              </w:rPr>
              <w:t xml:space="preserve">질문</w:t>
            </w:r>
          </w:p>
        </w:tc>
        <w:tc>
          <w:tcPr>
            <w:tcW w:type="dxa" w:w="4301"/>
            <w:shd w:fill="1f3a5f" w:val="clear"/>
            <w:tcMar>
              <w:top w:type="dxa" w:w="90"/>
              <w:left w:type="dxa" w:w="120"/>
              <w:bottom w:type="dxa" w:w="90"/>
              <w:right w:type="dxa" w:w="120"/>
            </w:tcMar>
            <w:vAlign w:val="center"/>
          </w:tcPr>
          <w:p>
            <w:pPr>
              <w:jc w:val="left"/>
            </w:pPr>
            <w:r>
              <w:rPr>
                <w:b/>
                <w:bCs/>
                <w:color w:val="FFFFFF"/>
                <w:sz w:val="19"/>
                <w:szCs w:val="19"/>
              </w:rPr>
              <w:t xml:space="preserve">적용</w:t>
            </w:r>
          </w:p>
        </w:tc>
      </w:tr>
      <w:tr>
        <w:tc>
          <w:tcPr>
            <w:tcW w:type="dxa" w:w="1683"/>
            <w:shd w:fill="FFFFFF" w:val="clear"/>
            <w:tcMar>
              <w:top w:type="dxa" w:w="80"/>
              <w:left w:type="dxa" w:w="120"/>
              <w:bottom w:type="dxa" w:w="80"/>
              <w:right w:type="dxa" w:w="120"/>
            </w:tcMar>
            <w:vAlign w:val="center"/>
          </w:tcPr>
          <w:p>
            <w:r>
              <w:rPr>
                <w:sz w:val="19"/>
                <w:szCs w:val="19"/>
              </w:rPr>
              <w:t xml:space="preserve">Impact</w:t>
            </w:r>
          </w:p>
        </w:tc>
        <w:tc>
          <w:tcPr>
            <w:tcW w:type="dxa" w:w="3366"/>
            <w:shd w:fill="FFFFFF" w:val="clear"/>
            <w:tcMar>
              <w:top w:type="dxa" w:w="80"/>
              <w:left w:type="dxa" w:w="120"/>
              <w:bottom w:type="dxa" w:w="80"/>
              <w:right w:type="dxa" w:w="120"/>
            </w:tcMar>
            <w:vAlign w:val="center"/>
          </w:tcPr>
          <w:p>
            <w:r>
              <w:rPr>
                <w:sz w:val="19"/>
                <w:szCs w:val="19"/>
              </w:rPr>
              <w:t xml:space="preserve">성공하면 지표가 얼마나 오를까?</w:t>
            </w:r>
          </w:p>
        </w:tc>
        <w:tc>
          <w:tcPr>
            <w:tcW w:type="dxa" w:w="4301"/>
            <w:shd w:fill="FFFFFF" w:val="clear"/>
            <w:tcMar>
              <w:top w:type="dxa" w:w="80"/>
              <w:left w:type="dxa" w:w="120"/>
              <w:bottom w:type="dxa" w:w="80"/>
              <w:right w:type="dxa" w:w="120"/>
            </w:tcMar>
            <w:vAlign w:val="center"/>
          </w:tcPr>
          <w:p>
            <w:r>
              <w:rPr>
                <w:sz w:val="19"/>
                <w:szCs w:val="19"/>
              </w:rPr>
              <w:t xml:space="preserve">브랜드 검색지수(현재 무상관 상태를 깨는 것이 목표)</w:t>
            </w:r>
          </w:p>
        </w:tc>
      </w:tr>
      <w:tr>
        <w:tc>
          <w:tcPr>
            <w:tcW w:type="dxa" w:w="1683"/>
            <w:shd w:fill="f2f3f5" w:val="clear"/>
            <w:tcMar>
              <w:top w:type="dxa" w:w="80"/>
              <w:left w:type="dxa" w:w="120"/>
              <w:bottom w:type="dxa" w:w="80"/>
              <w:right w:type="dxa" w:w="120"/>
            </w:tcMar>
            <w:vAlign w:val="center"/>
          </w:tcPr>
          <w:p>
            <w:r>
              <w:rPr>
                <w:sz w:val="19"/>
                <w:szCs w:val="19"/>
              </w:rPr>
              <w:t xml:space="preserve">Confidence</w:t>
            </w:r>
          </w:p>
        </w:tc>
        <w:tc>
          <w:tcPr>
            <w:tcW w:type="dxa" w:w="3366"/>
            <w:shd w:fill="f2f3f5" w:val="clear"/>
            <w:tcMar>
              <w:top w:type="dxa" w:w="80"/>
              <w:left w:type="dxa" w:w="120"/>
              <w:bottom w:type="dxa" w:w="80"/>
              <w:right w:type="dxa" w:w="120"/>
            </w:tcMar>
            <w:vAlign w:val="center"/>
          </w:tcPr>
          <w:p>
            <w:r>
              <w:rPr>
                <w:sz w:val="19"/>
                <w:szCs w:val="19"/>
              </w:rPr>
              <w:t xml:space="preserve">성공할 근거가 있나?</w:t>
            </w:r>
          </w:p>
        </w:tc>
        <w:tc>
          <w:tcPr>
            <w:tcW w:type="dxa" w:w="4301"/>
            <w:shd w:fill="f2f3f5" w:val="clear"/>
            <w:tcMar>
              <w:top w:type="dxa" w:w="80"/>
              <w:left w:type="dxa" w:w="120"/>
              <w:bottom w:type="dxa" w:w="80"/>
              <w:right w:type="dxa" w:w="120"/>
            </w:tcMar>
            <w:vAlign w:val="center"/>
          </w:tcPr>
          <w:p>
            <w:r>
              <w:rPr>
                <w:sz w:val="19"/>
                <w:szCs w:val="19"/>
              </w:rPr>
              <w:t xml:space="preserve">제주 연상 비중이 여전히 0.52%로 유지('이니스프리 제주' 단독, 비중 유지는 분모 붕괴 효과) — 헤리티지 콘텐츠가 반응할 토양은 있음</w:t>
            </w:r>
          </w:p>
        </w:tc>
      </w:tr>
      <w:tr>
        <w:tc>
          <w:tcPr>
            <w:tcW w:type="dxa" w:w="1683"/>
            <w:shd w:fill="FFFFFF" w:val="clear"/>
            <w:tcMar>
              <w:top w:type="dxa" w:w="80"/>
              <w:left w:type="dxa" w:w="120"/>
              <w:bottom w:type="dxa" w:w="80"/>
              <w:right w:type="dxa" w:w="120"/>
            </w:tcMar>
            <w:vAlign w:val="center"/>
          </w:tcPr>
          <w:p>
            <w:r>
              <w:rPr>
                <w:sz w:val="19"/>
                <w:szCs w:val="19"/>
              </w:rPr>
              <w:t xml:space="preserve">Ease</w:t>
            </w:r>
          </w:p>
        </w:tc>
        <w:tc>
          <w:tcPr>
            <w:tcW w:type="dxa" w:w="3366"/>
            <w:shd w:fill="FFFFFF" w:val="clear"/>
            <w:tcMar>
              <w:top w:type="dxa" w:w="80"/>
              <w:left w:type="dxa" w:w="120"/>
              <w:bottom w:type="dxa" w:w="80"/>
              <w:right w:type="dxa" w:w="120"/>
            </w:tcMar>
            <w:vAlign w:val="center"/>
          </w:tcPr>
          <w:p>
            <w:r>
              <w:rPr>
                <w:sz w:val="19"/>
                <w:szCs w:val="19"/>
              </w:rPr>
              <w:t xml:space="preserve">얼마나 빨리 할 수 있나?</w:t>
            </w:r>
          </w:p>
        </w:tc>
        <w:tc>
          <w:tcPr>
            <w:tcW w:type="dxa" w:w="4301"/>
            <w:shd w:fill="FFFFFF" w:val="clear"/>
            <w:tcMar>
              <w:top w:type="dxa" w:w="80"/>
              <w:left w:type="dxa" w:w="120"/>
              <w:bottom w:type="dxa" w:w="80"/>
              <w:right w:type="dxa" w:w="120"/>
            </w:tcMar>
            <w:vAlign w:val="center"/>
          </w:tcPr>
          <w:p>
            <w:r>
              <w:rPr>
                <w:sz w:val="19"/>
                <w:szCs w:val="19"/>
              </w:rPr>
              <w:t xml:space="preserve">기존 무드보드 시안 활용 시 신규 제작 없이 즉시 착수 가능</w:t>
            </w:r>
          </w:p>
        </w:tc>
      </w:tr>
    </w:tbl>
    <w:p>
      <w:pPr>
        <w:spacing w:after="80" w:before="180"/>
      </w:pPr>
      <w:r>
        <w:rPr>
          <w:b/>
          <w:bCs/>
          <w:sz w:val="22"/>
          <w:szCs w:val="22"/>
        </w:rPr>
        <w:t xml:space="preserve">3. 코호트 분석 도입 — 채널별로 갈라 본다</w:t>
      </w:r>
    </w:p>
    <w:p>
      <w:pPr>
        <w:spacing w:after="140" w:line="300"/>
      </w:pPr>
      <w:r>
        <w:rPr>
          <w:sz w:val="21"/>
          <w:szCs w:val="21"/>
        </w:rPr>
        <w:t xml:space="preserve">수업자료는 '전체 평균은 진실을 가린다'고 경고하며 유입 채널별로 묶어 유지율을 비교하라고 제안합니다. 이니스프리도 SNS 광고·검색광고·오프라인 유입 고객을 코호트로 나눠, 어느 채널의 신규 유입이 이후 브랜드를 재검색·재구매하는지 분리 측정해야 '무상관(r=-0.03)'이 특정 채널의 문제인지 전체 구조의 문제인지 가릴 수 있습니다.</w:t>
      </w:r>
    </w:p>
    <w:p>
      <w:pPr>
        <w:spacing w:after="80" w:before="180"/>
      </w:pPr>
      <w:r>
        <w:rPr>
          <w:b/>
          <w:bCs/>
          <w:sz w:val="22"/>
          <w:szCs w:val="22"/>
        </w:rPr>
        <w:t xml:space="preserve">4. 최소 3년 예산 사전 확약</w:t>
      </w:r>
    </w:p>
    <w:p>
      <w:pPr>
        <w:spacing w:after="140" w:line="300"/>
      </w:pPr>
      <w:r>
        <w:rPr>
          <w:sz w:val="21"/>
          <w:szCs w:val="21"/>
        </w:rPr>
        <w:t xml:space="preserve">판관비 총액은 리브랜딩 해에도 사실상 동결(+0.1%)이었고, 광고비 증액분(101억)도 지급수수료·운반비를 깎아 만든 재배치였습니다. 그리고 1년 만에 -20.6% 철회했습니다. 그로스 루프가 자가 증식하려면 최소 여러 사이클이 필요하다는 수업자료의 원칙에 따라, 예산은 재배치가 아닌 순증액으로 최소 3개년 사전 확정이 필요합니다.</w:t>
      </w:r>
    </w:p>
    <w:p>
      <w:pPr>
        <w:spacing w:after="200" w:before="80"/>
      </w:pPr>
      <w:r>
        <w:rPr>
          <w:i/>
          <w:iCs/>
          <w:color w:val="808080"/>
          <w:sz w:val="17"/>
          <w:szCs w:val="17"/>
        </w:rPr>
        <w:t xml:space="preserve">출처: 최종결론.md 층3, 원인분석.md, 감사보고서 6건(DART) 주석21 — 근거등급 A(재무)·B(검색량)</w:t>
      </w:r>
    </w:p>
    <w:p>
      <w:r>
        <w:br w:type="page"/>
      </w:r>
    </w:p>
    <w:p>
      <w:pPr>
        <w:pStyle w:val="Heading1"/>
        <w:pBdr>
          <w:bottom w:val="single" w:color="1f3a5f" w:sz="12" w:space="4"/>
        </w:pBdr>
        <w:spacing w:after="160" w:before="360"/>
      </w:pPr>
      <w:r>
        <w:rPr>
          <w:b/>
          <w:bCs/>
          <w:color w:val="1f3a5f"/>
        </w:rPr>
        <w:t xml:space="preserve">문제 C — 오프라인 접점(매장) 소멸이 인지도와 가장 강하게 연결됐다</w:t>
      </w:r>
    </w:p>
    <w:p>
      <w:pPr>
        <w:pStyle w:val="Heading2"/>
        <w:spacing w:after="120" w:before="260"/>
      </w:pPr>
      <w:r>
        <w:rPr>
          <w:b/>
          <w:bCs/>
          <w:color w:val="6b7280"/>
        </w:rPr>
        <w:t xml:space="preserve">문제 현상 (원문 그대로)</w:t>
      </w:r>
    </w:p>
    <w:p>
      <w:pPr>
        <w:pStyle w:val="ListParagraph"/>
        <w:numPr>
          <w:ilvl w:val="0"/>
          <w:numId w:val="2"/>
        </w:numPr>
        <w:spacing w:after="80" w:line="290"/>
      </w:pPr>
      <w:r>
        <w:rPr>
          <w:sz w:val="21"/>
          <w:szCs w:val="21"/>
        </w:rPr>
        <w:t xml:space="preserve">로드샵 매장 수는 2021년 400개 → 2024년 190개로, 3년 만에 절반 이하로 감소</w:t>
      </w:r>
    </w:p>
    <w:p>
      <w:pPr>
        <w:pStyle w:val="ListParagraph"/>
        <w:numPr>
          <w:ilvl w:val="0"/>
          <w:numId w:val="2"/>
        </w:numPr>
        <w:spacing w:after="80" w:line="290"/>
      </w:pPr>
      <w:r>
        <w:rPr>
          <w:sz w:val="21"/>
          <w:szCs w:val="21"/>
        </w:rPr>
        <w:t xml:space="preserve">매장 수와 브랜드 검색지수의 상관계수는 r=0.98(R²=0.97) — 프로젝트 전체에서 가장 강한 연결</w:t>
      </w:r>
    </w:p>
    <w:p>
      <w:pPr>
        <w:pStyle w:val="ListParagraph"/>
        <w:numPr>
          <w:ilvl w:val="0"/>
          <w:numId w:val="2"/>
        </w:numPr>
        <w:spacing w:after="80" w:line="290"/>
      </w:pPr>
      <w:r>
        <w:rPr>
          <w:sz w:val="21"/>
          <w:szCs w:val="21"/>
        </w:rPr>
        <w:t xml:space="preserve">매장 100개가 줄 때마다 검색지수가 약 2.37 하락</w:t>
      </w:r>
    </w:p>
    <w:p>
      <w:pPr>
        <w:pStyle w:val="ListParagraph"/>
        <w:numPr>
          <w:ilvl w:val="0"/>
          <w:numId w:val="2"/>
        </w:numPr>
        <w:spacing w:after="80" w:line="290"/>
      </w:pPr>
      <w:r>
        <w:rPr>
          <w:sz w:val="21"/>
          <w:szCs w:val="21"/>
        </w:rPr>
        <w:t xml:space="preserve">매장은 판매 채널이기 전에, 지나가는 사람들에게 매일 브랜드를 노출시키던 무료 매체였음</w:t>
      </w:r>
    </w:p>
    <w:p>
      <w:pPr>
        <w:pStyle w:val="Heading2"/>
        <w:spacing w:after="120" w:before="260"/>
      </w:pPr>
      <w:r>
        <w:rPr>
          <w:b/>
          <w:bCs/>
          <w:color w:val="2a7f8e"/>
        </w:rPr>
        <w:t xml:space="preserve">적용 프레임 — 12강 3C/4C 분석 &amp; 가치사슬</w:t>
      </w:r>
    </w:p>
    <w:p>
      <w:pPr>
        <w:spacing w:after="140" w:line="300"/>
      </w:pPr>
      <w:r>
        <w:rPr>
          <w:sz w:val="21"/>
          <w:szCs w:val="21"/>
        </w:rPr>
        <w:t xml:space="preserve">수업자료는 3C(Customer·Competitor·Company)의 확장판인 4C를 소개하며, 'Channel(유통·접점)을 더한 확장판, 어디서 어떻게 만나는가가 승부인 사업에 특히 유용하다'고 설명합니다. 로드샵 화장품 사업은 정확히 이 유형입니다. 매장은 3C의 Company(자사) 강점 자원이었을 뿐 아니라, 4C의 Channel(무료 노출 매체) 역할까지 이중으로 수행하고 있었습니다.</w:t>
      </w:r>
    </w:p>
    <w:p>
      <w:pPr>
        <w:spacing w:after="140" w:line="300"/>
      </w:pPr>
      <w:r>
        <w:rPr>
          <w:sz w:val="21"/>
          <w:szCs w:val="21"/>
        </w:rPr>
        <w:t xml:space="preserve">가치사슬(Value Chain) 개념 — '경쟁우위가 어느 단계에서 나오는지 찾는 도구' — 을 적용하면, 이니스프리의 실제 가치사슬에는 '레시피·조리' 같은 제품 단계 외에 '매장 노출'이라는, 지금까지 명시적으로 관리되지 않던 단계가 숨어 있었다는 것이 이번 상관관계 데이터가 보여주는 지점입니다.</w:t>
      </w:r>
    </w:p>
    <w:p>
      <w:pPr>
        <w:spacing w:after="60" w:before="120"/>
        <w:jc w:val="center"/>
      </w:pPr>
      <w:r>
        <w:drawing>
          <wp:inline distT="0" distB="0" distL="0" distR="0">
            <wp:extent cx="53340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133725"/>
                    </a:xfrm>
                    <a:prstGeom prst="rect">
                      <a:avLst/>
                    </a:prstGeom>
                  </pic:spPr>
                </pic:pic>
              </a:graphicData>
            </a:graphic>
          </wp:inline>
        </w:drawing>
      </w:r>
    </w:p>
    <w:p>
      <w:pPr>
        <w:spacing w:after="200"/>
        <w:jc w:val="center"/>
      </w:pPr>
      <w:r>
        <w:rPr>
          <w:i/>
          <w:iCs/>
          <w:color w:val="808080"/>
          <w:sz w:val="17"/>
          <w:szCs w:val="17"/>
        </w:rPr>
        <w:t xml:space="preserve">매장 수와 브랜드 검색은 거의 같은 곡선을 그렸다(r=0.98) — 근거등급 A(매장수)·B(검색지수)</w:t>
      </w:r>
    </w:p>
    <w:tbl>
      <w:tblPr>
        <w:tblW w:type="pct" w:w="100%"/>
        <w:tblBorders>
          <w:top w:val="single" w:color="c0392b" w:sz="4"/>
          <w:left w:val="single" w:color="c0392b" w:sz="4"/>
          <w:bottom w:val="single" w:color="c0392b" w:sz="4"/>
          <w:right w:val="single" w:color="c0392b" w:sz="4"/>
          <w:insideH w:val="none" w:color="FFFFFF" w:sz="0"/>
          <w:insideV w:val="none" w:color="FFFFFF" w:sz="0"/>
        </w:tblBorders>
      </w:tblPr>
      <w:tblGrid>
        <w:gridCol w:w="100"/>
      </w:tblGrid>
      <w:tr>
        <w:tc>
          <w:tcPr>
            <w:shd w:fill="FFF7EC" w:val="clear"/>
            <w:tcMar>
              <w:top w:type="dxa" w:w="140"/>
              <w:left w:type="dxa" w:w="180"/>
              <w:bottom w:type="dxa" w:w="140"/>
              <w:right w:type="dxa" w:w="180"/>
            </w:tcMar>
          </w:tcPr>
          <w:p>
            <w:pPr>
              <w:spacing w:line="280"/>
            </w:pPr>
            <w:r>
              <w:rPr>
                <w:color w:val="5a4a20"/>
                <w:sz w:val="20"/>
                <w:szCs w:val="20"/>
              </w:rPr>
              <w:t xml:space="preserve">⚠️ 역인과 가능성 — 매장이 줄어서 검색이 준 것인지, 브랜드 수요가 먼저 줄어 채산성이 안 맞는 매장부터 문을 닫은 것인지 이 상관계수만으로는 방향을 알 수 없습니다. 표본도 연간 4개 포인트로 작습니다. "매장을 늘리면 검색이 는다"고 단정할 수 없고, "매장이 하던 노출 기능을 무엇으로 대체할 것인가"라는 질문으로만 사용해야 합니다.</w:t>
            </w:r>
          </w:p>
        </w:tc>
      </w:tr>
    </w:tbl>
    <w:p>
      <w:pPr>
        <w:pStyle w:val="Heading2"/>
        <w:spacing w:after="120" w:before="260"/>
      </w:pPr>
      <w:r>
        <w:rPr>
          <w:b/>
          <w:bCs/>
          <w:color w:val="2a7f8e"/>
        </w:rPr>
        <w:t xml:space="preserve">해결 전략</w:t>
      </w:r>
    </w:p>
    <w:p>
      <w:pPr>
        <w:spacing w:after="80" w:before="180"/>
      </w:pPr>
      <w:r>
        <w:rPr>
          <w:b/>
          <w:bCs/>
          <w:sz w:val="22"/>
          <w:szCs w:val="22"/>
        </w:rPr>
        <w:t xml:space="preserve">1. 4C의 Channel을 다시 정의 — 사라진 노출 기능의 대체재를 명시</w:t>
      </w:r>
    </w:p>
    <w:p>
      <w:pPr>
        <w:spacing w:after="140" w:line="300"/>
      </w:pPr>
      <w:r>
        <w:rPr>
          <w:sz w:val="21"/>
          <w:szCs w:val="21"/>
        </w:rPr>
        <w:t xml:space="preserve">매장이 하던 '무료 노출 매체' 기능을 대체할 새로운 Channel을 공식적으로 정의합니다. 온라인 콘텐츠(문제 E 해결책과 연결)와, 아래의 체험형 오프라인 거점 확장이 두 축입니다.</w:t>
      </w:r>
    </w:p>
    <w:p>
      <w:pPr>
        <w:spacing w:after="80" w:before="180"/>
      </w:pPr>
      <w:r>
        <w:rPr>
          <w:b/>
          <w:bCs/>
          <w:sz w:val="22"/>
          <w:szCs w:val="22"/>
        </w:rPr>
        <w:t xml:space="preserve">2. '공병공간' 실증 사례 확장 — 신규 제작이 아니라 이미 있는 자산의 재조명</w:t>
      </w:r>
    </w:p>
    <w:p>
      <w:pPr>
        <w:spacing w:after="140" w:line="300"/>
      </w:pPr>
      <w:r>
        <w:rPr>
          <w:sz w:val="21"/>
          <w:szCs w:val="21"/>
        </w:rPr>
        <w:t xml:space="preserve">이니스프리는 이미 '공병공간'이라는 체험형 매장을 운영 중입니다: 80년 된 한옥을 개조했고, 내부 공간의 70%를 공병 23만 개를 분쇄한 마감재로 장식했습니다. 이는 2003년부터 22년째 이어온 아모레퍼시픽그룹 '그린사이클' 캠페인의 일부로, 공병 1개당 뷰티포인트 최대 500점이 적립됩니다. 이 공간은 '헤리티지+지속가능성+체험'을 이미 증명하고 있는데, 일반 소비자가 거의 모른다는 것 자체가 기회입니다 — 신규 콘셉트를 새로 만드는 대신 이 실증 사례를 재조명·확장하는 안입니다.</w:t>
      </w:r>
    </w:p>
    <w:p>
      <w:pPr>
        <w:spacing w:after="80" w:before="180"/>
      </w:pPr>
      <w:r>
        <w:rPr>
          <w:b/>
          <w:bCs/>
          <w:sz w:val="22"/>
          <w:szCs w:val="22"/>
        </w:rPr>
        <w:t xml:space="preserve">3. 플랫폼 제휴 기획전 확대</w:t>
      </w:r>
    </w:p>
    <w:p>
      <w:pPr>
        <w:spacing w:after="140" w:line="300"/>
      </w:pPr>
      <w:r>
        <w:rPr>
          <w:sz w:val="21"/>
          <w:szCs w:val="21"/>
        </w:rPr>
        <w:t xml:space="preserve">무신사 등 이미 존재하는 온라인 유통 플랫폼의 뷰티 기획전 참여를 확대합니다. 경쟁사 미샤는 메타 광고 집행이 거의 없는데도 이런 플랫폼 제휴로 순위에서 앞서는 사례가 확인됩니다 — 매장 재건 없이도 접근 가능한 저비용·저리스크 채널입니다.</w:t>
      </w:r>
    </w:p>
    <w:p>
      <w:pPr>
        <w:spacing w:after="200" w:before="80"/>
      </w:pPr>
      <w:r>
        <w:rPr>
          <w:i/>
          <w:iCs/>
          <w:color w:val="808080"/>
          <w:sz w:val="17"/>
          <w:szCs w:val="17"/>
        </w:rPr>
        <w:t xml:space="preserve">출처: 원인분석.md, 최종결론.md, 마케팅제안_전체스캔.md 1·6·8번 — 근거등급 A(매장수, 공정위 정보공개서)·B(검색지수, '공병공간' 사례는 언론 3건 교차확인)</w:t>
      </w:r>
    </w:p>
    <w:p>
      <w:r>
        <w:br w:type="page"/>
      </w:r>
    </w:p>
    <w:p>
      <w:pPr>
        <w:pStyle w:val="Heading1"/>
        <w:pBdr>
          <w:bottom w:val="single" w:color="1f3a5f" w:sz="12" w:space="4"/>
        </w:pBdr>
        <w:spacing w:after="160" w:before="360"/>
      </w:pPr>
      <w:r>
        <w:rPr>
          <w:b/>
          <w:bCs/>
          <w:color w:val="1f3a5f"/>
        </w:rPr>
        <w:t xml:space="preserve">문제 D — 제품은 팔리는데, 그게 브랜드로 안 쌓인다</w:t>
      </w:r>
    </w:p>
    <w:p>
      <w:pPr>
        <w:pStyle w:val="Heading2"/>
        <w:spacing w:after="120" w:before="260"/>
      </w:pPr>
      <w:r>
        <w:rPr>
          <w:b/>
          <w:bCs/>
          <w:color w:val="6b7280"/>
        </w:rPr>
        <w:t xml:space="preserve">문제 현상 (원문 그대로)</w:t>
      </w:r>
    </w:p>
    <w:p>
      <w:pPr>
        <w:pStyle w:val="ListParagraph"/>
        <w:numPr>
          <w:ilvl w:val="0"/>
          <w:numId w:val="2"/>
        </w:numPr>
        <w:spacing w:after="80" w:line="290"/>
      </w:pPr>
      <w:r>
        <w:rPr>
          <w:sz w:val="21"/>
          <w:szCs w:val="21"/>
        </w:rPr>
        <w:t xml:space="preserve">'레티놀 앰플' 등 제품군 검색은 2022→2023년 +118.5% 증가. 같은 기간 브랜드 검색은 -23.9%</w:t>
      </w:r>
    </w:p>
    <w:p>
      <w:pPr>
        <w:pStyle w:val="ListParagraph"/>
        <w:numPr>
          <w:ilvl w:val="0"/>
          <w:numId w:val="2"/>
        </w:numPr>
        <w:spacing w:after="80" w:line="290"/>
      </w:pPr>
      <w:r>
        <w:rPr>
          <w:sz w:val="21"/>
          <w:szCs w:val="21"/>
        </w:rPr>
        <w:t xml:space="preserve">그린티 키워드는 리브랜딩 발표 직후(2023년 4월) 2.73배 상승 후, 2024년 -48.1%로 하락</w:t>
      </w:r>
    </w:p>
    <w:p>
      <w:pPr>
        <w:pStyle w:val="Heading2"/>
        <w:spacing w:after="120" w:before="260"/>
      </w:pPr>
      <w:r>
        <w:rPr>
          <w:b/>
          <w:bCs/>
          <w:color w:val="2a7f8e"/>
        </w:rPr>
        <w:t xml:space="preserve">적용 프레임 — 15강 AARRR/노스스타 &amp; 19강 KPI 트리</w:t>
      </w:r>
    </w:p>
    <w:p>
      <w:pPr>
        <w:spacing w:after="140" w:line="300"/>
      </w:pPr>
      <w:r>
        <w:rPr>
          <w:sz w:val="21"/>
          <w:szCs w:val="21"/>
        </w:rPr>
        <w:t xml:space="preserve">수업자료는 노스스타 지표를 정할 때 '결제 수가 아니라 진짜 가치를 받는 순간을 대변해야 한다'고 강조하며, "'결제 수'는 관성으로도 유지된다 — 가치가 아니다"라고 명확히 경고합니다. 이니스프리의 광고 220건이 전부 성과형(할인·순위·리뷰수)이라는 사실은, 사실상의 노스스타가 '제품 판매'에 고정돼 있다는 뜻입니다. 그 결과 제품은 팔리는데(+118.5%) 그 관심이 브랜드 자산(-23.9%)으로 전혀 적립되지 않는 구조가 반복됩니다.</w:t>
      </w:r>
    </w:p>
    <w:p>
      <w:pPr>
        <w:spacing w:after="140" w:line="300"/>
      </w:pPr>
      <w:r>
        <w:rPr>
          <w:sz w:val="21"/>
          <w:szCs w:val="21"/>
        </w:rPr>
        <w:t xml:space="preserve">코호트 분석 개념 — '전체 평균은 진실을 가린다, 같은 시기 들어온 그룹끼리 묶어야 어떤 유입이 오래 남는지 보인다' — 도 그대로 적용됩니다. 그린티 키워드의 '2.73배 스파이크 → -48.1% 소멸' 패턴은, 제품 화제로 유입된 관심이 지속되는 자산으로 전환되지 않고 휘발된다는 증거입니다.</w:t>
      </w:r>
    </w:p>
    <w:p>
      <w:pPr>
        <w:spacing w:after="60" w:before="120"/>
        <w:jc w:val="center"/>
      </w:pPr>
      <w:r>
        <w:drawing>
          <wp:inline distT="0" distB="0" distL="0" distR="0">
            <wp:extent cx="53340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828925"/>
                    </a:xfrm>
                    <a:prstGeom prst="rect">
                      <a:avLst/>
                    </a:prstGeom>
                  </pic:spPr>
                </pic:pic>
              </a:graphicData>
            </a:graphic>
          </wp:inline>
        </w:drawing>
      </w:r>
    </w:p>
    <w:p>
      <w:pPr>
        <w:spacing w:after="200"/>
        <w:jc w:val="center"/>
      </w:pPr>
      <w:r>
        <w:rPr>
          <w:i/>
          <w:iCs/>
          <w:color w:val="808080"/>
          <w:sz w:val="17"/>
          <w:szCs w:val="17"/>
        </w:rPr>
        <w:t xml:space="preserve">제품 관심은 생기지만, 그 관심이 '이니스프리'로 적립되지 않는다 — 근거등급 B</w:t>
      </w:r>
    </w:p>
    <w:p>
      <w:pPr>
        <w:pStyle w:val="Heading2"/>
        <w:spacing w:after="120" w:before="260"/>
      </w:pPr>
      <w:r>
        <w:rPr>
          <w:b/>
          <w:bCs/>
          <w:color w:val="2a7f8e"/>
        </w:rPr>
        <w:t xml:space="preserve">해결 전략</w:t>
      </w:r>
    </w:p>
    <w:p>
      <w:pPr>
        <w:spacing w:after="80" w:before="180"/>
      </w:pPr>
      <w:r>
        <w:rPr>
          <w:b/>
          <w:bCs/>
          <w:sz w:val="22"/>
          <w:szCs w:val="22"/>
        </w:rPr>
        <w:t xml:space="preserve">1. 노스스타 재정의 — '제품 판매'가 아니라 '브랜드 관여'로</w:t>
      </w:r>
    </w:p>
    <w:p>
      <w:pPr>
        <w:spacing w:after="140" w:line="300"/>
      </w:pPr>
      <w:r>
        <w:rPr>
          <w:sz w:val="21"/>
          <w:szCs w:val="21"/>
        </w:rPr>
        <w:t xml:space="preserve">수업자료의 KPI 트리 원칙을 적용해, 최상단 노스스타를 '제품 판매량'에서 '브랜드 재검색·재방문' 같은 능동적 관여 지표로 교체합니다. 동인 지표는 '헤리티지 콘텐츠 접촉률'과 '제품 구매 후 브랜드 사이트 재방문율' 두 갈래로 나눌 수 있습니다.</w:t>
      </w:r>
    </w:p>
    <w:p>
      <w:pPr>
        <w:spacing w:after="80" w:before="180"/>
      </w:pPr>
      <w:r>
        <w:rPr>
          <w:b/>
          <w:bCs/>
          <w:sz w:val="22"/>
          <w:szCs w:val="22"/>
        </w:rPr>
        <w:t xml:space="preserve">2. Product-to-Brand 브릿지 — 상세페이지 개편</w:t>
      </w:r>
    </w:p>
    <w:p>
      <w:pPr>
        <w:spacing w:after="140" w:line="300"/>
      </w:pPr>
      <w:r>
        <w:rPr>
          <w:sz w:val="21"/>
          <w:szCs w:val="21"/>
        </w:rPr>
        <w:t xml:space="preserve">제품 검색(+118.5%)과 브랜드 검색(-23.9%)의 괴리를 좁히는 것이 핵심입니다. 상세페이지에 원료·데이터·헤리티지 근거·루틴 제안을 두괄식으로 배치해, 제품을 산 사람이 자연스럽게 브랜드 서사와 연결되도록 설계합니다(기존 제안서 4-4 상세페이지 항목과 일치).</w:t>
      </w:r>
    </w:p>
    <w:p>
      <w:pPr>
        <w:spacing w:after="80" w:before="180"/>
      </w:pPr>
      <w:r>
        <w:rPr>
          <w:b/>
          <w:bCs/>
          <w:sz w:val="22"/>
          <w:szCs w:val="22"/>
        </w:rPr>
        <w:t xml:space="preserve">3. 올리브영 랭킹 진입 제품 수를 실행지표로 KPI화</w:t>
      </w:r>
    </w:p>
    <w:p>
      <w:pPr>
        <w:spacing w:after="140" w:line="300"/>
      </w:pPr>
      <w:r>
        <w:rPr>
          <w:sz w:val="21"/>
          <w:szCs w:val="21"/>
        </w:rPr>
        <w:t xml:space="preserve">PDRN 앰플은 출시 당일(2024-07-17) 올리브영 판매 1위를 기록했지만(회사 발표 기준), 이런 개별 제품의 화제가 브랜드 전체로 이어지는 연결고리가 지금은 측정되지 않습니다. 랭킹 진입 제품 수 자체를 실행지표로 관리하면, 제품 화제가 브랜드 자산으로 전환되는지를 추적할 수 있습니다.</w:t>
      </w:r>
    </w:p>
    <w:p>
      <w:pPr>
        <w:spacing w:after="80" w:before="180"/>
      </w:pPr>
      <w:r>
        <w:rPr>
          <w:b/>
          <w:bCs/>
          <w:sz w:val="22"/>
          <w:szCs w:val="22"/>
        </w:rPr>
        <w:t xml:space="preserve">4. 코호트 분석으로 스파이크-소멸 패턴 재발 여부 추적</w:t>
      </w:r>
    </w:p>
    <w:p>
      <w:pPr>
        <w:spacing w:after="140" w:line="300"/>
      </w:pPr>
      <w:r>
        <w:rPr>
          <w:sz w:val="21"/>
          <w:szCs w:val="21"/>
        </w:rPr>
        <w:t xml:space="preserve">'제품 검색으로 유입된 고객'과 '브랜드 검색으로 유입된 고객'을 코호트로 나눠 재구매·재검색률을 비교합니다. 그린티 키워드처럼 화제만 만들고 꺼지는 패턴이 다른 성분·제품에서도 반복되는지 사전에 확인할 수 있습니다.</w:t>
      </w:r>
    </w:p>
    <w:p>
      <w:pPr>
        <w:spacing w:after="200" w:before="80"/>
      </w:pPr>
      <w:r>
        <w:rPr>
          <w:i/>
          <w:iCs/>
          <w:color w:val="808080"/>
          <w:sz w:val="17"/>
          <w:szCs w:val="17"/>
        </w:rPr>
        <w:t xml:space="preserve">출처: 최종결론.md, 원인분석.md, 마케팅제안_전체스캔.md 5번, 크리에이티브제안_근거매핑.md — 근거등급 B(검색량)·C(PDRN 출시 당일 1위, 회사 발표 기준)</w:t>
      </w:r>
    </w:p>
    <w:p>
      <w:r>
        <w:br w:type="page"/>
      </w:r>
    </w:p>
    <w:p>
      <w:pPr>
        <w:pStyle w:val="Heading1"/>
        <w:pBdr>
          <w:bottom w:val="single" w:color="1f3a5f" w:sz="12" w:space="4"/>
        </w:pBdr>
        <w:spacing w:after="160" w:before="360"/>
      </w:pPr>
      <w:r>
        <w:rPr>
          <w:b/>
          <w:bCs/>
          <w:color w:val="1f3a5f"/>
        </w:rPr>
        <w:t xml:space="preserve">문제 E — 디지털 콘텐츠가 '제로클릭 시대'에 준비돼 있지 않다</w:t>
      </w:r>
    </w:p>
    <w:p>
      <w:pPr>
        <w:pStyle w:val="Heading2"/>
        <w:spacing w:after="120" w:before="260"/>
      </w:pPr>
      <w:r>
        <w:rPr>
          <w:b/>
          <w:bCs/>
          <w:color w:val="6b7280"/>
        </w:rPr>
        <w:t xml:space="preserve">문제 현상 (원문 그대로)</w:t>
      </w:r>
    </w:p>
    <w:p>
      <w:pPr>
        <w:pStyle w:val="ListParagraph"/>
        <w:numPr>
          <w:ilvl w:val="0"/>
          <w:numId w:val="2"/>
        </w:numPr>
        <w:spacing w:after="80" w:line="290"/>
      </w:pPr>
      <w:r>
        <w:rPr>
          <w:sz w:val="21"/>
          <w:szCs w:val="21"/>
        </w:rPr>
        <w:t xml:space="preserve">공식 사이트 직접 점검: robots.txt에 AI 크롤러(GPTBot·ClaudeBot 등) 전용 규칙 없음, 메인 페이지에 FAQPage 스키마(JSON-LD) 없음, llms.txt 없음(404) (2026-08-18 점검 기준 — 08-19 재조회에서 llms.txt 200 OK 신규 생성, 1/4)</w:t>
      </w:r>
    </w:p>
    <w:p>
      <w:pPr>
        <w:pStyle w:val="ListParagraph"/>
        <w:numPr>
          <w:ilvl w:val="0"/>
          <w:numId w:val="2"/>
        </w:numPr>
        <w:spacing w:after="80" w:line="290"/>
      </w:pPr>
      <w:r>
        <w:rPr>
          <w:sz w:val="21"/>
          <w:szCs w:val="21"/>
        </w:rPr>
        <w:t xml:space="preserve">수집한 블로그 게시물 60건 중 다수가 동일한 서술 템플릿의 협찬형 후기</w:t>
      </w:r>
    </w:p>
    <w:p>
      <w:pPr>
        <w:pStyle w:val="ListParagraph"/>
        <w:numPr>
          <w:ilvl w:val="0"/>
          <w:numId w:val="2"/>
        </w:numPr>
        <w:spacing w:after="80" w:line="290"/>
      </w:pPr>
      <w:r>
        <w:rPr>
          <w:sz w:val="21"/>
          <w:szCs w:val="21"/>
        </w:rPr>
        <w:t xml:space="preserve">업계 참고 지표: 검색의 69%가 클릭 없이 종료(zero-click), FAQ 형태 콘텐츠의 AI 인용률이 홈페이지형보다 훨씬 높음(95% vs 35%)</w:t>
      </w:r>
    </w:p>
    <w:tbl>
      <w:tblPr>
        <w:tblW w:type="pct" w:w="100%"/>
        <w:tblBorders>
          <w:top w:val="single" w:color="d68910" w:sz="4"/>
          <w:left w:val="single" w:color="d68910" w:sz="4"/>
          <w:bottom w:val="single" w:color="d68910" w:sz="4"/>
          <w:right w:val="single" w:color="d68910" w:sz="4"/>
          <w:insideH w:val="none" w:color="FFFFFF" w:sz="0"/>
          <w:insideV w:val="none" w:color="FFFFFF" w:sz="0"/>
        </w:tblBorders>
      </w:tblPr>
      <w:tblGrid>
        <w:gridCol w:w="100"/>
      </w:tblGrid>
      <w:tr>
        <w:tc>
          <w:tcPr>
            <w:shd w:fill="FFF7EC" w:val="clear"/>
            <w:tcMar>
              <w:top w:type="dxa" w:w="140"/>
              <w:left w:type="dxa" w:w="180"/>
              <w:bottom w:type="dxa" w:w="140"/>
              <w:right w:type="dxa" w:w="180"/>
            </w:tcMar>
          </w:tcPr>
          <w:p>
            <w:pPr>
              <w:spacing w:line="280"/>
            </w:pPr>
            <w:r>
              <w:rPr>
                <w:color w:val="5a4a20"/>
                <w:sz w:val="20"/>
                <w:szCs w:val="20"/>
              </w:rPr>
              <w:t xml:space="preserve">⚠️ 프레임 적용 범위 안내 — 수업자료 2쪽은 "자료 폴더에 있던 10~11강(AEO: AI 검색엔진 최적화)은 시장분석→캠페인 설계 흐름과 별개인 기술적 SEO 트랙이라 이번 정리에서 제외했습니다"라고 명시합니다. 즉 이 수업자료의 정규 5강 프레임 안에는 AEO를 직접 다루는 렉처가 없습니다. 아래는 자료 안에서 가장 가까운 세 개념 — PESTEL의 Technological 축, 5 Forces의 대체재의 위협, 4C의 Channel — 로 우회 적용한 것입니다.</w:t>
            </w:r>
          </w:p>
        </w:tc>
      </w:tr>
    </w:tbl>
    <w:p>
      <w:pPr>
        <w:pStyle w:val="Heading2"/>
        <w:spacing w:after="120" w:before="260"/>
      </w:pPr>
      <w:r>
        <w:rPr>
          <w:b/>
          <w:bCs/>
          <w:color w:val="2a7f8e"/>
        </w:rPr>
        <w:t xml:space="preserve">적용 프레임 — 12강 PESTEL(T) · 5 Forces · 4C(우회 적용)</w:t>
      </w:r>
    </w:p>
    <w:tbl>
      <w:tblPr>
        <w:tblW w:type="dxa" w:w="9350"/>
        <w:tblBorders>
          <w:top w:val="single" w:color="CFD3D8" w:sz="4"/>
          <w:left w:val="single" w:color="CFD3D8" w:sz="4"/>
          <w:bottom w:val="single" w:color="CFD3D8" w:sz="4"/>
          <w:right w:val="single" w:color="CFD3D8" w:sz="4"/>
          <w:insideH w:val="single" w:color="E3E6EA" w:sz="4"/>
          <w:insideV w:val="single" w:color="E3E6EA" w:sz="4"/>
        </w:tblBorders>
      </w:tblPr>
      <w:tblGrid>
        <w:gridCol w:w="2057"/>
        <w:gridCol w:w="3553"/>
        <w:gridCol w:w="3740"/>
      </w:tblGrid>
      <w:tr>
        <w:trPr>
          <w:tblHeader/>
        </w:trPr>
        <w:tc>
          <w:tcPr>
            <w:tcW w:type="dxa" w:w="2057"/>
            <w:shd w:fill="1f3a5f" w:val="clear"/>
            <w:tcMar>
              <w:top w:type="dxa" w:w="90"/>
              <w:left w:type="dxa" w:w="120"/>
              <w:bottom w:type="dxa" w:w="90"/>
              <w:right w:type="dxa" w:w="120"/>
            </w:tcMar>
            <w:vAlign w:val="center"/>
          </w:tcPr>
          <w:p>
            <w:pPr>
              <w:jc w:val="left"/>
            </w:pPr>
            <w:r>
              <w:rPr>
                <w:b/>
                <w:bCs/>
                <w:color w:val="FFFFFF"/>
                <w:sz w:val="19"/>
                <w:szCs w:val="19"/>
              </w:rPr>
              <w:t xml:space="preserve">개념</w:t>
            </w:r>
          </w:p>
        </w:tc>
        <w:tc>
          <w:tcPr>
            <w:tcW w:type="dxa" w:w="3553"/>
            <w:shd w:fill="1f3a5f" w:val="clear"/>
            <w:tcMar>
              <w:top w:type="dxa" w:w="90"/>
              <w:left w:type="dxa" w:w="120"/>
              <w:bottom w:type="dxa" w:w="90"/>
              <w:right w:type="dxa" w:w="120"/>
            </w:tcMar>
            <w:vAlign w:val="center"/>
          </w:tcPr>
          <w:p>
            <w:pPr>
              <w:jc w:val="left"/>
            </w:pPr>
            <w:r>
              <w:rPr>
                <w:b/>
                <w:bCs/>
                <w:color w:val="FFFFFF"/>
                <w:sz w:val="19"/>
                <w:szCs w:val="19"/>
              </w:rPr>
              <w:t xml:space="preserve">수업자료 정의</w:t>
            </w:r>
          </w:p>
        </w:tc>
        <w:tc>
          <w:tcPr>
            <w:tcW w:type="dxa" w:w="3740"/>
            <w:shd w:fill="1f3a5f" w:val="clear"/>
            <w:tcMar>
              <w:top w:type="dxa" w:w="90"/>
              <w:left w:type="dxa" w:w="120"/>
              <w:bottom w:type="dxa" w:w="90"/>
              <w:right w:type="dxa" w:w="120"/>
            </w:tcMar>
            <w:vAlign w:val="center"/>
          </w:tcPr>
          <w:p>
            <w:pPr>
              <w:jc w:val="left"/>
            </w:pPr>
            <w:r>
              <w:rPr>
                <w:b/>
                <w:bCs/>
                <w:color w:val="FFFFFF"/>
                <w:sz w:val="19"/>
                <w:szCs w:val="19"/>
              </w:rPr>
              <w:t xml:space="preserve">문제 E에 적용</w:t>
            </w:r>
          </w:p>
        </w:tc>
      </w:tr>
      <w:tr>
        <w:tc>
          <w:tcPr>
            <w:tcW w:type="dxa" w:w="2057"/>
            <w:shd w:fill="FFFFFF" w:val="clear"/>
            <w:tcMar>
              <w:top w:type="dxa" w:w="80"/>
              <w:left w:type="dxa" w:w="120"/>
              <w:bottom w:type="dxa" w:w="80"/>
              <w:right w:type="dxa" w:w="120"/>
            </w:tcMar>
            <w:vAlign w:val="center"/>
          </w:tcPr>
          <w:p>
            <w:r>
              <w:rPr>
                <w:sz w:val="19"/>
                <w:szCs w:val="19"/>
              </w:rPr>
              <w:t xml:space="preserve">PESTEL — Technological</w:t>
            </w:r>
          </w:p>
        </w:tc>
        <w:tc>
          <w:tcPr>
            <w:tcW w:type="dxa" w:w="3553"/>
            <w:shd w:fill="FFFFFF" w:val="clear"/>
            <w:tcMar>
              <w:top w:type="dxa" w:w="80"/>
              <w:left w:type="dxa" w:w="120"/>
              <w:bottom w:type="dxa" w:w="80"/>
              <w:right w:type="dxa" w:w="120"/>
            </w:tcMar>
            <w:vAlign w:val="center"/>
          </w:tcPr>
          <w:p>
            <w:r>
              <w:rPr>
                <w:sz w:val="19"/>
                <w:szCs w:val="19"/>
              </w:rPr>
              <w:t xml:space="preserve">내가 통제할 수 없는 거시환경(macro)을 점검하는 축</w:t>
            </w:r>
          </w:p>
        </w:tc>
        <w:tc>
          <w:tcPr>
            <w:tcW w:type="dxa" w:w="3740"/>
            <w:shd w:fill="FFFFFF" w:val="clear"/>
            <w:tcMar>
              <w:top w:type="dxa" w:w="80"/>
              <w:left w:type="dxa" w:w="120"/>
              <w:bottom w:type="dxa" w:w="80"/>
              <w:right w:type="dxa" w:w="120"/>
            </w:tcMar>
            <w:vAlign w:val="center"/>
          </w:tcPr>
          <w:p>
            <w:r>
              <w:rPr>
                <w:sz w:val="19"/>
                <w:szCs w:val="19"/>
              </w:rPr>
              <w:t xml:space="preserve">AI 검색 확산은 이니스프리만의 문제가 아니라 업종 전체가 맞이한 통제 불가능한 기술 환경 변화</w:t>
            </w:r>
          </w:p>
        </w:tc>
      </w:tr>
      <w:tr>
        <w:tc>
          <w:tcPr>
            <w:tcW w:type="dxa" w:w="2057"/>
            <w:shd w:fill="f2f3f5" w:val="clear"/>
            <w:tcMar>
              <w:top w:type="dxa" w:w="80"/>
              <w:left w:type="dxa" w:w="120"/>
              <w:bottom w:type="dxa" w:w="80"/>
              <w:right w:type="dxa" w:w="120"/>
            </w:tcMar>
            <w:vAlign w:val="center"/>
          </w:tcPr>
          <w:p>
            <w:r>
              <w:rPr>
                <w:sz w:val="19"/>
                <w:szCs w:val="19"/>
              </w:rPr>
              <w:t xml:space="preserve">5 Forces — 대체재의 위협</w:t>
            </w:r>
          </w:p>
        </w:tc>
        <w:tc>
          <w:tcPr>
            <w:tcW w:type="dxa" w:w="3553"/>
            <w:shd w:fill="f2f3f5" w:val="clear"/>
            <w:tcMar>
              <w:top w:type="dxa" w:w="80"/>
              <w:left w:type="dxa" w:w="120"/>
              <w:bottom w:type="dxa" w:w="80"/>
              <w:right w:type="dxa" w:w="120"/>
            </w:tcMar>
            <w:vAlign w:val="center"/>
          </w:tcPr>
          <w:p>
            <w:r>
              <w:rPr>
                <w:sz w:val="19"/>
                <w:szCs w:val="19"/>
              </w:rPr>
              <w:t xml:space="preserve">산업의 매력도를 낮추는 5개 경쟁 압력 중 하나</w:t>
            </w:r>
          </w:p>
        </w:tc>
        <w:tc>
          <w:tcPr>
            <w:tcW w:type="dxa" w:w="3740"/>
            <w:shd w:fill="f2f3f5" w:val="clear"/>
            <w:tcMar>
              <w:top w:type="dxa" w:w="80"/>
              <w:left w:type="dxa" w:w="120"/>
              <w:bottom w:type="dxa" w:w="80"/>
              <w:right w:type="dxa" w:w="120"/>
            </w:tcMar>
            <w:vAlign w:val="center"/>
          </w:tcPr>
          <w:p>
            <w:r>
              <w:rPr>
                <w:sz w:val="19"/>
                <w:szCs w:val="19"/>
              </w:rPr>
              <w:t xml:space="preserve">소비자가 '브랜드 사이트 방문' 대신 'AI에게 직접 질문'하는 행동이 확산되면, AI 답변 자체가 브랜드 사이트의 대체재가 됨</w:t>
            </w:r>
          </w:p>
        </w:tc>
      </w:tr>
      <w:tr>
        <w:tc>
          <w:tcPr>
            <w:tcW w:type="dxa" w:w="2057"/>
            <w:shd w:fill="FFFFFF" w:val="clear"/>
            <w:tcMar>
              <w:top w:type="dxa" w:w="80"/>
              <w:left w:type="dxa" w:w="120"/>
              <w:bottom w:type="dxa" w:w="80"/>
              <w:right w:type="dxa" w:w="120"/>
            </w:tcMar>
            <w:vAlign w:val="center"/>
          </w:tcPr>
          <w:p>
            <w:r>
              <w:rPr>
                <w:sz w:val="19"/>
                <w:szCs w:val="19"/>
              </w:rPr>
              <w:t xml:space="preserve">4C — Channel</w:t>
            </w:r>
          </w:p>
        </w:tc>
        <w:tc>
          <w:tcPr>
            <w:tcW w:type="dxa" w:w="3553"/>
            <w:shd w:fill="FFFFFF" w:val="clear"/>
            <w:tcMar>
              <w:top w:type="dxa" w:w="80"/>
              <w:left w:type="dxa" w:w="120"/>
              <w:bottom w:type="dxa" w:w="80"/>
              <w:right w:type="dxa" w:w="120"/>
            </w:tcMar>
            <w:vAlign w:val="center"/>
          </w:tcPr>
          <w:p>
            <w:r>
              <w:rPr>
                <w:sz w:val="19"/>
                <w:szCs w:val="19"/>
              </w:rPr>
              <w:t xml:space="preserve">3C에 Channel(유통·접점)을 더한 확장판, '어디서 어떻게 만나는가'가 승부인 사업에 유용</w:t>
            </w:r>
          </w:p>
        </w:tc>
        <w:tc>
          <w:tcPr>
            <w:tcW w:type="dxa" w:w="3740"/>
            <w:shd w:fill="FFFFFF" w:val="clear"/>
            <w:tcMar>
              <w:top w:type="dxa" w:w="80"/>
              <w:left w:type="dxa" w:w="120"/>
              <w:bottom w:type="dxa" w:w="80"/>
              <w:right w:type="dxa" w:w="120"/>
            </w:tcMar>
            <w:vAlign w:val="center"/>
          </w:tcPr>
          <w:p>
            <w:r>
              <w:rPr>
                <w:sz w:val="19"/>
                <w:szCs w:val="19"/>
              </w:rPr>
              <w:t xml:space="preserve">매장이 하던 노출 기능을 온라인이 대체해야 하는데(문제 C), 그 온라인 채널 자체가 기본 요건을 못 갖춤</w:t>
            </w:r>
          </w:p>
        </w:tc>
      </w:tr>
    </w:tbl>
    <w:p>
      <w:pPr>
        <w:spacing w:after="60" w:before="120"/>
        <w:jc w:val="center"/>
      </w:pPr>
      <w:r>
        <w:drawing>
          <wp:inline distT="0" distB="0" distL="0" distR="0">
            <wp:extent cx="53340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676525"/>
                    </a:xfrm>
                    <a:prstGeom prst="rect">
                      <a:avLst/>
                    </a:prstGeom>
                  </pic:spPr>
                </pic:pic>
              </a:graphicData>
            </a:graphic>
          </wp:inline>
        </w:drawing>
      </w:r>
    </w:p>
    <w:p>
      <w:pPr>
        <w:spacing w:after="200"/>
        <w:jc w:val="center"/>
      </w:pPr>
      <w:r>
        <w:rPr>
          <w:i/>
          <w:iCs/>
          <w:color w:val="808080"/>
          <w:sz w:val="17"/>
          <w:szCs w:val="17"/>
        </w:rPr>
        <w:t xml:space="preserve">잃어버린 오프라인 노출을 대체할 온라인 채널이, 기본 요건도 못 갖췄다 — 근거등급 C(좌)·B(우)</w:t>
      </w:r>
    </w:p>
    <w:tbl>
      <w:tblPr>
        <w:tblW w:type="pct" w:w="100%"/>
        <w:tblBorders>
          <w:top w:val="single" w:color="c0392b" w:sz="4"/>
          <w:left w:val="single" w:color="c0392b" w:sz="4"/>
          <w:bottom w:val="single" w:color="c0392b" w:sz="4"/>
          <w:right w:val="single" w:color="c0392b" w:sz="4"/>
          <w:insideH w:val="none" w:color="FFFFFF" w:sz="0"/>
          <w:insideV w:val="none" w:color="FFFFFF" w:sz="0"/>
        </w:tblBorders>
      </w:tblPr>
      <w:tblGrid>
        <w:gridCol w:w="100"/>
      </w:tblGrid>
      <w:tr>
        <w:tc>
          <w:tcPr>
            <w:shd w:fill="FFF7EC" w:val="clear"/>
            <w:tcMar>
              <w:top w:type="dxa" w:w="140"/>
              <w:left w:type="dxa" w:w="180"/>
              <w:bottom w:type="dxa" w:w="140"/>
              <w:right w:type="dxa" w:w="180"/>
            </w:tcMar>
          </w:tcPr>
          <w:p>
            <w:pPr>
              <w:spacing w:line="280"/>
            </w:pPr>
            <w:r>
              <w:rPr>
                <w:color w:val="5a4a20"/>
                <w:sz w:val="20"/>
                <w:szCs w:val="20"/>
              </w:rPr>
              <w:t xml:space="preserve">⚠️ 한계 — 이건 "영향을 관찰"한 게 아니라 "취약점을 점검"한 것입니다. 이니스프리가 실제로 AI 검색(ChatGPT·Perplexity·구글 AI Overviews 등)에서 얼마나 인용되는지는 아직 직접 측정하지 않았습니다. 체크리스트 미충족이 실제 인지도·매출에 영향을 주는지는 가설 단계입니다.</w:t>
            </w:r>
          </w:p>
        </w:tc>
      </w:tr>
    </w:tbl>
    <w:p>
      <w:pPr>
        <w:pStyle w:val="Heading2"/>
        <w:spacing w:after="120" w:before="260"/>
      </w:pPr>
      <w:r>
        <w:rPr>
          <w:b/>
          <w:bCs/>
          <w:color w:val="2a7f8e"/>
        </w:rPr>
        <w:t xml:space="preserve">해결 전략</w:t>
      </w:r>
    </w:p>
    <w:p>
      <w:pPr>
        <w:spacing w:after="80" w:before="180"/>
      </w:pPr>
      <w:r>
        <w:rPr>
          <w:b/>
          <w:bCs/>
          <w:sz w:val="22"/>
          <w:szCs w:val="22"/>
        </w:rPr>
        <w:t xml:space="preserve">1. 자사 채널 전체 감사 — 즉시 착수 가능, 낮은 난이도</w:t>
      </w:r>
    </w:p>
    <w:p>
      <w:pPr>
        <w:spacing w:after="140" w:line="300"/>
      </w:pPr>
      <w:r>
        <w:rPr>
          <w:sz w:val="21"/>
          <w:szCs w:val="21"/>
        </w:rPr>
        <w:t xml:space="preserve">공식 사이트와 SNS 전체를 대상으로 구조적 결함(FAQ 스키마·llms.txt·robots.txt)을 먼저 점검합니다. 예산 승인 없이 30일 안에 시작 가능한 항목입니다.</w:t>
      </w:r>
    </w:p>
    <w:p>
      <w:pPr>
        <w:spacing w:after="80" w:before="180"/>
      </w:pPr>
      <w:r>
        <w:rPr>
          <w:b/>
          <w:bCs/>
          <w:sz w:val="22"/>
          <w:szCs w:val="22"/>
        </w:rPr>
        <w:t xml:space="preserve">2. FAQPage 스키마(JSON-LD)·llms.txt 신설, robots.txt AI 크롤러 규칙 추가</w:t>
      </w:r>
    </w:p>
    <w:p>
      <w:pPr>
        <w:spacing w:after="140" w:line="300"/>
      </w:pPr>
      <w:r>
        <w:rPr>
          <w:sz w:val="21"/>
          <w:szCs w:val="21"/>
        </w:rPr>
        <w:t xml:space="preserve">FAQ형 콘텐츠의 AI 인용률(95%)이 홈페이지형(35%)보다 2.7배 높다는 업계 참고지표에 근거해, 현재 제품나열형 구조를 FAQ 구조로 일부 전환합니다.</w:t>
      </w:r>
    </w:p>
    <w:p>
      <w:pPr>
        <w:spacing w:after="80" w:before="180"/>
      </w:pPr>
      <w:r>
        <w:rPr>
          <w:b/>
          <w:bCs/>
          <w:sz w:val="22"/>
          <w:szCs w:val="22"/>
        </w:rPr>
        <w:t xml:space="preserve">3. 콘텐츠 일부를 전문가 검증형으로 전환</w:t>
      </w:r>
    </w:p>
    <w:p>
      <w:pPr>
        <w:spacing w:after="140" w:line="300"/>
      </w:pPr>
      <w:r>
        <w:rPr>
          <w:sz w:val="21"/>
          <w:szCs w:val="21"/>
        </w:rPr>
        <w:t xml:space="preserve">블로그 60건 다수를 차지하는 협찬형 템플릿 대신, 피부과 전문의·성분 연구원 인터뷰 등 '전문가 이름·자격+데이터+두괄식' 구조의 콘텐츠 비중을 늘립니다. 체험단 물량을 줄이자는 것이 아니라, AI가 인용할 수 있는 유형의 콘텐츠 비중을 만드는 것입니다.</w:t>
      </w:r>
    </w:p>
    <w:p>
      <w:pPr>
        <w:spacing w:after="80" w:before="180"/>
      </w:pPr>
      <w:r>
        <w:rPr>
          <w:b/>
          <w:bCs/>
          <w:sz w:val="22"/>
          <w:szCs w:val="22"/>
        </w:rPr>
        <w:t xml:space="preserve">4. 실측 계획 수립</w:t>
      </w:r>
    </w:p>
    <w:p>
      <w:pPr>
        <w:spacing w:after="140" w:line="300"/>
      </w:pPr>
      <w:r>
        <w:rPr>
          <w:sz w:val="21"/>
          <w:szCs w:val="21"/>
        </w:rPr>
        <w:t xml:space="preserve">현재는 취약점 점검 단계이므로, 다음 단계로 AI 검색에서 이니스프리가 실제로 얼마나 인용/누락되는지 정기 측정하는 절차를 KPI 트리의 실행지표로 편입합니다.</w:t>
      </w:r>
    </w:p>
    <w:p>
      <w:pPr>
        <w:spacing w:after="200" w:before="80"/>
      </w:pPr>
      <w:r>
        <w:rPr>
          <w:i/>
          <w:iCs/>
          <w:color w:val="808080"/>
          <w:sz w:val="17"/>
          <w:szCs w:val="17"/>
        </w:rPr>
        <w:t xml:space="preserve">출처: 전략실행_지표반응_중립분석.md 5번, 크리에이티브제안_근거매핑.md 축B, 마케팅제안_전체스캔.md 3·4번 — 근거등급 B(자사 채널 직접 점검)·C(업계 일반 참고지표)</w:t>
      </w:r>
    </w:p>
    <w:p>
      <w:r>
        <w:br w:type="page"/>
      </w:r>
    </w:p>
    <w:p>
      <w:pPr>
        <w:pStyle w:val="Heading1"/>
        <w:pBdr>
          <w:bottom w:val="single" w:color="1f3a5f" w:sz="12" w:space="4"/>
        </w:pBdr>
        <w:spacing w:after="160" w:before="360"/>
      </w:pPr>
      <w:r>
        <w:rPr>
          <w:b/>
          <w:bCs/>
          <w:color w:val="1f3a5f"/>
        </w:rPr>
        <w:t xml:space="preserve">종합 — 문제 · 적용 프레임 · 해결 매트릭스</w:t>
      </w:r>
    </w:p>
    <w:tbl>
      <w:tblPr>
        <w:tblW w:type="dxa" w:w="9350"/>
        <w:tblBorders>
          <w:top w:val="single" w:color="CFD3D8" w:sz="4"/>
          <w:left w:val="single" w:color="CFD3D8" w:sz="4"/>
          <w:bottom w:val="single" w:color="CFD3D8" w:sz="4"/>
          <w:right w:val="single" w:color="CFD3D8" w:sz="4"/>
          <w:insideH w:val="single" w:color="E3E6EA" w:sz="4"/>
          <w:insideV w:val="single" w:color="E3E6EA" w:sz="4"/>
        </w:tblBorders>
      </w:tblPr>
      <w:tblGrid>
        <w:gridCol w:w="1496"/>
        <w:gridCol w:w="2244"/>
        <w:gridCol w:w="2244"/>
        <w:gridCol w:w="3366"/>
      </w:tblGrid>
      <w:tr>
        <w:trPr>
          <w:tblHeader/>
        </w:trPr>
        <w:tc>
          <w:tcPr>
            <w:tcW w:type="dxa" w:w="1496"/>
            <w:shd w:fill="1f3a5f" w:val="clear"/>
            <w:tcMar>
              <w:top w:type="dxa" w:w="90"/>
              <w:left w:type="dxa" w:w="120"/>
              <w:bottom w:type="dxa" w:w="90"/>
              <w:right w:type="dxa" w:w="120"/>
            </w:tcMar>
            <w:vAlign w:val="center"/>
          </w:tcPr>
          <w:p>
            <w:pPr>
              <w:jc w:val="left"/>
            </w:pPr>
            <w:r>
              <w:rPr>
                <w:b/>
                <w:bCs/>
                <w:color w:val="FFFFFF"/>
                <w:sz w:val="19"/>
                <w:szCs w:val="19"/>
              </w:rPr>
              <w:t xml:space="preserve">문제</w:t>
            </w:r>
          </w:p>
        </w:tc>
        <w:tc>
          <w:tcPr>
            <w:tcW w:type="dxa" w:w="2244"/>
            <w:shd w:fill="1f3a5f" w:val="clear"/>
            <w:tcMar>
              <w:top w:type="dxa" w:w="90"/>
              <w:left w:type="dxa" w:w="120"/>
              <w:bottom w:type="dxa" w:w="90"/>
              <w:right w:type="dxa" w:w="120"/>
            </w:tcMar>
            <w:vAlign w:val="center"/>
          </w:tcPr>
          <w:p>
            <w:pPr>
              <w:jc w:val="left"/>
            </w:pPr>
            <w:r>
              <w:rPr>
                <w:b/>
                <w:bCs/>
                <w:color w:val="FFFFFF"/>
                <w:sz w:val="19"/>
                <w:szCs w:val="19"/>
              </w:rPr>
              <w:t xml:space="preserve">핵심 근거</w:t>
            </w:r>
          </w:p>
        </w:tc>
        <w:tc>
          <w:tcPr>
            <w:tcW w:type="dxa" w:w="2244"/>
            <w:shd w:fill="1f3a5f" w:val="clear"/>
            <w:tcMar>
              <w:top w:type="dxa" w:w="90"/>
              <w:left w:type="dxa" w:w="120"/>
              <w:bottom w:type="dxa" w:w="90"/>
              <w:right w:type="dxa" w:w="120"/>
            </w:tcMar>
            <w:vAlign w:val="center"/>
          </w:tcPr>
          <w:p>
            <w:pPr>
              <w:jc w:val="left"/>
            </w:pPr>
            <w:r>
              <w:rPr>
                <w:b/>
                <w:bCs/>
                <w:color w:val="FFFFFF"/>
                <w:sz w:val="19"/>
                <w:szCs w:val="19"/>
              </w:rPr>
              <w:t xml:space="preserve">적용 프레임(강의)</w:t>
            </w:r>
          </w:p>
        </w:tc>
        <w:tc>
          <w:tcPr>
            <w:tcW w:type="dxa" w:w="3366"/>
            <w:shd w:fill="1f3a5f" w:val="clear"/>
            <w:tcMar>
              <w:top w:type="dxa" w:w="90"/>
              <w:left w:type="dxa" w:w="120"/>
              <w:bottom w:type="dxa" w:w="90"/>
              <w:right w:type="dxa" w:w="120"/>
            </w:tcMar>
            <w:vAlign w:val="center"/>
          </w:tcPr>
          <w:p>
            <w:pPr>
              <w:jc w:val="left"/>
            </w:pPr>
            <w:r>
              <w:rPr>
                <w:b/>
                <w:bCs/>
                <w:color w:val="FFFFFF"/>
                <w:sz w:val="19"/>
                <w:szCs w:val="19"/>
              </w:rPr>
              <w:t xml:space="preserve">해결 방향(요약)</w:t>
            </w:r>
          </w:p>
        </w:tc>
      </w:tr>
      <w:tr>
        <w:tc>
          <w:tcPr>
            <w:tcW w:type="dxa" w:w="1496"/>
            <w:shd w:fill="FFFFFF" w:val="clear"/>
            <w:tcMar>
              <w:top w:type="dxa" w:w="80"/>
              <w:left w:type="dxa" w:w="120"/>
              <w:bottom w:type="dxa" w:w="80"/>
              <w:right w:type="dxa" w:w="120"/>
            </w:tcMar>
            <w:vAlign w:val="center"/>
          </w:tcPr>
          <w:p>
            <w:pPr>
              <w:spacing w:after="20"/>
            </w:pPr>
            <w:r>
              <w:rPr>
                <w:sz w:val="19"/>
                <w:szCs w:val="19"/>
              </w:rPr>
              <w:t xml:space="preserve">A. 헤리티지 단절</w:t>
            </w:r>
          </w:p>
        </w:tc>
        <w:tc>
          <w:tcPr>
            <w:tcW w:type="dxa" w:w="2244"/>
            <w:shd w:fill="FFFFFF" w:val="clear"/>
            <w:tcMar>
              <w:top w:type="dxa" w:w="80"/>
              <w:left w:type="dxa" w:w="120"/>
              <w:bottom w:type="dxa" w:w="80"/>
              <w:right w:type="dxa" w:w="120"/>
            </w:tcMar>
            <w:vAlign w:val="center"/>
          </w:tcPr>
          <w:p>
            <w:pPr>
              <w:spacing w:after="20"/>
            </w:pPr>
            <w:r>
              <w:rPr>
                <w:sz w:val="19"/>
                <w:szCs w:val="19"/>
              </w:rPr>
              <w:t xml:space="preserve">제주 연상 0.34%→0.52%
헤리티지 언급 0/220건</w:t>
            </w:r>
          </w:p>
        </w:tc>
        <w:tc>
          <w:tcPr>
            <w:tcW w:type="dxa" w:w="2244"/>
            <w:shd w:fill="FFFFFF" w:val="clear"/>
            <w:tcMar>
              <w:top w:type="dxa" w:w="80"/>
              <w:left w:type="dxa" w:w="120"/>
              <w:bottom w:type="dxa" w:w="80"/>
              <w:right w:type="dxa" w:w="120"/>
            </w:tcMar>
            <w:vAlign w:val="center"/>
          </w:tcPr>
          <w:p>
            <w:pPr>
              <w:spacing w:after="20"/>
            </w:pPr>
            <w:r>
              <w:rPr>
                <w:sz w:val="19"/>
                <w:szCs w:val="19"/>
              </w:rPr>
              <w:t xml:space="preserve">14강 포지셔닝·RTB</w:t>
            </w:r>
          </w:p>
        </w:tc>
        <w:tc>
          <w:tcPr>
            <w:tcW w:type="dxa" w:w="3366"/>
            <w:shd w:fill="FFFFFF" w:val="clear"/>
            <w:tcMar>
              <w:top w:type="dxa" w:w="80"/>
              <w:left w:type="dxa" w:w="120"/>
              <w:bottom w:type="dxa" w:w="80"/>
              <w:right w:type="dxa" w:w="120"/>
            </w:tcMar>
            <w:vAlign w:val="center"/>
          </w:tcPr>
          <w:p>
            <w:pPr>
              <w:spacing w:after="20"/>
            </w:pPr>
            <w:r>
              <w:rPr>
                <w:sz w:val="19"/>
                <w:szCs w:val="19"/>
              </w:rPr>
              <w:t xml:space="preserve">포지셔닝 문장 재작성, RTB 표 구성, 휴면고객 재활성화</w:t>
            </w:r>
          </w:p>
        </w:tc>
      </w:tr>
      <w:tr>
        <w:tc>
          <w:tcPr>
            <w:tcW w:type="dxa" w:w="1496"/>
            <w:shd w:fill="f2f3f5" w:val="clear"/>
            <w:tcMar>
              <w:top w:type="dxa" w:w="80"/>
              <w:left w:type="dxa" w:w="120"/>
              <w:bottom w:type="dxa" w:w="80"/>
              <w:right w:type="dxa" w:w="120"/>
            </w:tcMar>
            <w:vAlign w:val="center"/>
          </w:tcPr>
          <w:p>
            <w:pPr>
              <w:spacing w:after="20"/>
            </w:pPr>
            <w:r>
              <w:rPr>
                <w:sz w:val="19"/>
                <w:szCs w:val="19"/>
              </w:rPr>
              <w:t xml:space="preserve">B. 광고→인지 미전환</w:t>
            </w:r>
          </w:p>
        </w:tc>
        <w:tc>
          <w:tcPr>
            <w:tcW w:type="dxa" w:w="2244"/>
            <w:shd w:fill="f2f3f5" w:val="clear"/>
            <w:tcMar>
              <w:top w:type="dxa" w:w="80"/>
              <w:left w:type="dxa" w:w="120"/>
              <w:bottom w:type="dxa" w:w="80"/>
              <w:right w:type="dxa" w:w="120"/>
            </w:tcMar>
            <w:vAlign w:val="center"/>
          </w:tcPr>
          <w:p>
            <w:pPr>
              <w:spacing w:after="20"/>
            </w:pPr>
            <w:r>
              <w:rPr>
                <w:sz w:val="19"/>
                <w:szCs w:val="19"/>
              </w:rPr>
              <w:t xml:space="preserve">r=-0.03(브랜드)
r=+0.69(제품)</w:t>
            </w:r>
          </w:p>
        </w:tc>
        <w:tc>
          <w:tcPr>
            <w:tcW w:type="dxa" w:w="2244"/>
            <w:shd w:fill="f2f3f5" w:val="clear"/>
            <w:tcMar>
              <w:top w:type="dxa" w:w="80"/>
              <w:left w:type="dxa" w:w="120"/>
              <w:bottom w:type="dxa" w:w="80"/>
              <w:right w:type="dxa" w:w="120"/>
            </w:tcMar>
            <w:vAlign w:val="center"/>
          </w:tcPr>
          <w:p>
            <w:pPr>
              <w:spacing w:after="20"/>
            </w:pPr>
            <w:r>
              <w:rPr>
                <w:sz w:val="19"/>
                <w:szCs w:val="19"/>
              </w:rPr>
              <w:t xml:space="preserve">15강 퍼널 병목·ICE</w:t>
            </w:r>
          </w:p>
        </w:tc>
        <w:tc>
          <w:tcPr>
            <w:tcW w:type="dxa" w:w="3366"/>
            <w:shd w:fill="f2f3f5" w:val="clear"/>
            <w:tcMar>
              <w:top w:type="dxa" w:w="80"/>
              <w:left w:type="dxa" w:w="120"/>
              <w:bottom w:type="dxa" w:w="80"/>
              <w:right w:type="dxa" w:w="120"/>
            </w:tcMar>
            <w:vAlign w:val="center"/>
          </w:tcPr>
          <w:p>
            <w:pPr>
              <w:spacing w:after="20"/>
            </w:pPr>
            <w:r>
              <w:rPr>
                <w:sz w:val="19"/>
                <w:szCs w:val="19"/>
              </w:rPr>
              <w:t xml:space="preserve">예산의 퍼널 단계 재배분, ICE 우선순위화, 코호트 분석</w:t>
            </w:r>
          </w:p>
        </w:tc>
      </w:tr>
      <w:tr>
        <w:tc>
          <w:tcPr>
            <w:tcW w:type="dxa" w:w="1496"/>
            <w:shd w:fill="FFFFFF" w:val="clear"/>
            <w:tcMar>
              <w:top w:type="dxa" w:w="80"/>
              <w:left w:type="dxa" w:w="120"/>
              <w:bottom w:type="dxa" w:w="80"/>
              <w:right w:type="dxa" w:w="120"/>
            </w:tcMar>
            <w:vAlign w:val="center"/>
          </w:tcPr>
          <w:p>
            <w:pPr>
              <w:spacing w:after="20"/>
            </w:pPr>
            <w:r>
              <w:rPr>
                <w:sz w:val="19"/>
                <w:szCs w:val="19"/>
              </w:rPr>
              <w:t xml:space="preserve">C. 매장 소멸</w:t>
            </w:r>
          </w:p>
        </w:tc>
        <w:tc>
          <w:tcPr>
            <w:tcW w:type="dxa" w:w="2244"/>
            <w:shd w:fill="FFFFFF" w:val="clear"/>
            <w:tcMar>
              <w:top w:type="dxa" w:w="80"/>
              <w:left w:type="dxa" w:w="120"/>
              <w:bottom w:type="dxa" w:w="80"/>
              <w:right w:type="dxa" w:w="120"/>
            </w:tcMar>
            <w:vAlign w:val="center"/>
          </w:tcPr>
          <w:p>
            <w:pPr>
              <w:spacing w:after="20"/>
            </w:pPr>
            <w:r>
              <w:rPr>
                <w:sz w:val="19"/>
                <w:szCs w:val="19"/>
              </w:rPr>
              <w:t xml:space="preserve">r=0.98(R²=0.97)
매장 400→190개</w:t>
            </w:r>
          </w:p>
        </w:tc>
        <w:tc>
          <w:tcPr>
            <w:tcW w:type="dxa" w:w="2244"/>
            <w:shd w:fill="FFFFFF" w:val="clear"/>
            <w:tcMar>
              <w:top w:type="dxa" w:w="80"/>
              <w:left w:type="dxa" w:w="120"/>
              <w:bottom w:type="dxa" w:w="80"/>
              <w:right w:type="dxa" w:w="120"/>
            </w:tcMar>
            <w:vAlign w:val="center"/>
          </w:tcPr>
          <w:p>
            <w:pPr>
              <w:spacing w:after="20"/>
            </w:pPr>
            <w:r>
              <w:rPr>
                <w:sz w:val="19"/>
                <w:szCs w:val="19"/>
              </w:rPr>
              <w:t xml:space="preserve">12강 4C·가치사슬</w:t>
            </w:r>
          </w:p>
        </w:tc>
        <w:tc>
          <w:tcPr>
            <w:tcW w:type="dxa" w:w="3366"/>
            <w:shd w:fill="FFFFFF" w:val="clear"/>
            <w:tcMar>
              <w:top w:type="dxa" w:w="80"/>
              <w:left w:type="dxa" w:w="120"/>
              <w:bottom w:type="dxa" w:w="80"/>
              <w:right w:type="dxa" w:w="120"/>
            </w:tcMar>
            <w:vAlign w:val="center"/>
          </w:tcPr>
          <w:p>
            <w:pPr>
              <w:spacing w:after="20"/>
            </w:pPr>
            <w:r>
              <w:rPr>
                <w:sz w:val="19"/>
                <w:szCs w:val="19"/>
              </w:rPr>
              <w:t xml:space="preserve">Channel 재정의, '공병공간' 확장, 플랫폼 제휴</w:t>
            </w:r>
          </w:p>
        </w:tc>
      </w:tr>
      <w:tr>
        <w:tc>
          <w:tcPr>
            <w:tcW w:type="dxa" w:w="1496"/>
            <w:shd w:fill="f2f3f5" w:val="clear"/>
            <w:tcMar>
              <w:top w:type="dxa" w:w="80"/>
              <w:left w:type="dxa" w:w="120"/>
              <w:bottom w:type="dxa" w:w="80"/>
              <w:right w:type="dxa" w:w="120"/>
            </w:tcMar>
            <w:vAlign w:val="center"/>
          </w:tcPr>
          <w:p>
            <w:pPr>
              <w:spacing w:after="20"/>
            </w:pPr>
            <w:r>
              <w:rPr>
                <w:sz w:val="19"/>
                <w:szCs w:val="19"/>
              </w:rPr>
              <w:t xml:space="preserve">D. 제품↔브랜드 괴리</w:t>
            </w:r>
          </w:p>
        </w:tc>
        <w:tc>
          <w:tcPr>
            <w:tcW w:type="dxa" w:w="2244"/>
            <w:shd w:fill="f2f3f5" w:val="clear"/>
            <w:tcMar>
              <w:top w:type="dxa" w:w="80"/>
              <w:left w:type="dxa" w:w="120"/>
              <w:bottom w:type="dxa" w:w="80"/>
              <w:right w:type="dxa" w:w="120"/>
            </w:tcMar>
            <w:vAlign w:val="center"/>
          </w:tcPr>
          <w:p>
            <w:pPr>
              <w:spacing w:after="20"/>
            </w:pPr>
            <w:r>
              <w:rPr>
                <w:sz w:val="19"/>
                <w:szCs w:val="19"/>
              </w:rPr>
              <w:t xml:space="preserve">제품 +118.5%
브랜드 -23.9%</w:t>
            </w:r>
          </w:p>
        </w:tc>
        <w:tc>
          <w:tcPr>
            <w:tcW w:type="dxa" w:w="2244"/>
            <w:shd w:fill="f2f3f5" w:val="clear"/>
            <w:tcMar>
              <w:top w:type="dxa" w:w="80"/>
              <w:left w:type="dxa" w:w="120"/>
              <w:bottom w:type="dxa" w:w="80"/>
              <w:right w:type="dxa" w:w="120"/>
            </w:tcMar>
            <w:vAlign w:val="center"/>
          </w:tcPr>
          <w:p>
            <w:pPr>
              <w:spacing w:after="20"/>
            </w:pPr>
            <w:r>
              <w:rPr>
                <w:sz w:val="19"/>
                <w:szCs w:val="19"/>
              </w:rPr>
              <w:t xml:space="preserve">15강 AARRR·노스스타
19강 KPI트리</w:t>
            </w:r>
          </w:p>
        </w:tc>
        <w:tc>
          <w:tcPr>
            <w:tcW w:type="dxa" w:w="3366"/>
            <w:shd w:fill="f2f3f5" w:val="clear"/>
            <w:tcMar>
              <w:top w:type="dxa" w:w="80"/>
              <w:left w:type="dxa" w:w="120"/>
              <w:bottom w:type="dxa" w:w="80"/>
              <w:right w:type="dxa" w:w="120"/>
            </w:tcMar>
            <w:vAlign w:val="center"/>
          </w:tcPr>
          <w:p>
            <w:pPr>
              <w:spacing w:after="20"/>
            </w:pPr>
            <w:r>
              <w:rPr>
                <w:sz w:val="19"/>
                <w:szCs w:val="19"/>
              </w:rPr>
              <w:t xml:space="preserve">노스스타 재정의, 상세페이지 브릿지, 랭킹 KPI화</w:t>
            </w:r>
          </w:p>
        </w:tc>
      </w:tr>
      <w:tr>
        <w:tc>
          <w:tcPr>
            <w:tcW w:type="dxa" w:w="1496"/>
            <w:shd w:fill="FFFFFF" w:val="clear"/>
            <w:tcMar>
              <w:top w:type="dxa" w:w="80"/>
              <w:left w:type="dxa" w:w="120"/>
              <w:bottom w:type="dxa" w:w="80"/>
              <w:right w:type="dxa" w:w="120"/>
            </w:tcMar>
            <w:vAlign w:val="center"/>
          </w:tcPr>
          <w:p>
            <w:pPr>
              <w:spacing w:after="20"/>
            </w:pPr>
            <w:r>
              <w:rPr>
                <w:sz w:val="19"/>
                <w:szCs w:val="19"/>
              </w:rPr>
              <w:t xml:space="preserve">E. 제로클릭 미대응</w:t>
            </w:r>
          </w:p>
        </w:tc>
        <w:tc>
          <w:tcPr>
            <w:tcW w:type="dxa" w:w="2244"/>
            <w:shd w:fill="FFFFFF" w:val="clear"/>
            <w:tcMar>
              <w:top w:type="dxa" w:w="80"/>
              <w:left w:type="dxa" w:w="120"/>
              <w:bottom w:type="dxa" w:w="80"/>
              <w:right w:type="dxa" w:w="120"/>
            </w:tcMar>
            <w:vAlign w:val="center"/>
          </w:tcPr>
          <w:p>
            <w:pPr>
              <w:spacing w:after="20"/>
            </w:pPr>
            <w:r>
              <w:rPr>
                <w:sz w:val="19"/>
                <w:szCs w:val="19"/>
              </w:rPr>
              <w:t xml:space="preserve">FAQ 95% vs 홈 35%
체크리스트 3개 미충족(2026-08-18 점검 기준 — 08-19 재조회에서 llms.txt 200 OK 신규 생성, 1/4)</w:t>
            </w:r>
          </w:p>
        </w:tc>
        <w:tc>
          <w:tcPr>
            <w:tcW w:type="dxa" w:w="2244"/>
            <w:shd w:fill="FFFFFF" w:val="clear"/>
            <w:tcMar>
              <w:top w:type="dxa" w:w="80"/>
              <w:left w:type="dxa" w:w="120"/>
              <w:bottom w:type="dxa" w:w="80"/>
              <w:right w:type="dxa" w:w="120"/>
            </w:tcMar>
            <w:vAlign w:val="center"/>
          </w:tcPr>
          <w:p>
            <w:pPr>
              <w:spacing w:after="20"/>
            </w:pPr>
            <w:r>
              <w:rPr>
                <w:sz w:val="19"/>
                <w:szCs w:val="19"/>
              </w:rPr>
              <w:t xml:space="preserve">PESTEL-T·5Forces·4C
(우회 적용)</w:t>
            </w:r>
          </w:p>
        </w:tc>
        <w:tc>
          <w:tcPr>
            <w:tcW w:type="dxa" w:w="3366"/>
            <w:shd w:fill="FFFFFF" w:val="clear"/>
            <w:tcMar>
              <w:top w:type="dxa" w:w="80"/>
              <w:left w:type="dxa" w:w="120"/>
              <w:bottom w:type="dxa" w:w="80"/>
              <w:right w:type="dxa" w:w="120"/>
            </w:tcMar>
            <w:vAlign w:val="center"/>
          </w:tcPr>
          <w:p>
            <w:pPr>
              <w:spacing w:after="20"/>
            </w:pPr>
            <w:r>
              <w:rPr>
                <w:sz w:val="19"/>
                <w:szCs w:val="19"/>
              </w:rPr>
              <w:t xml:space="preserve">채널 감사, FAQ 스키마 신설, 전문가 검증형 전환</w:t>
            </w:r>
          </w:p>
        </w:tc>
      </w:tr>
    </w:tbl>
    <w:p>
      <w:pPr>
        <w:spacing w:after="160"/>
      </w:pPr>
    </w:p>
    <w:p>
      <w:pPr>
        <w:pStyle w:val="Heading2"/>
        <w:spacing w:after="120" w:before="260"/>
      </w:pPr>
      <w:r>
        <w:rPr>
          <w:b/>
          <w:bCs/>
          <w:color w:val="2a7f8e"/>
        </w:rPr>
        <w:t xml:space="preserve">공통으로 관통하는 하나의 패턴</w:t>
      </w:r>
    </w:p>
    <w:p>
      <w:pPr>
        <w:spacing w:after="140" w:line="300"/>
      </w:pPr>
      <w:r>
        <w:rPr>
          <w:sz w:val="21"/>
          <w:szCs w:val="21"/>
        </w:rPr>
        <w:t xml:space="preserve">다섯 문제 모두 서로 다른 증상처럼 보이지만, 근본은 하나로 수렴합니다 — 20년간 쌓은 자산(제주 헤리티지·매장 노출)을 대체할 새로운 접점을 마련하지 않은 채 기존 접점만 줄였다는 것입니다. 수업자료의 언어로 옮기면: 4C의 Channel을 재설계하지 않은 채 기존 Channel(매장)을 축소했고, 그 축소를 새로운 포지셔닝(RTB 없는 THE NEW ISLE)과 퍼널 하단 광고(TOFU 없는 BOFU 집중)로 메우려 했습니다.</w:t>
      </w:r>
    </w:p>
    <w:p>
      <w:r>
        <w:br w:type="page"/>
      </w:r>
    </w:p>
    <w:p>
      <w:pPr>
        <w:pStyle w:val="Heading1"/>
        <w:pBdr>
          <w:bottom w:val="single" w:color="1f3a5f" w:sz="12" w:space="4"/>
        </w:pBdr>
        <w:spacing w:after="160" w:before="360"/>
      </w:pPr>
      <w:r>
        <w:rPr>
          <w:b/>
          <w:bCs/>
          <w:color w:val="1f3a5f"/>
        </w:rPr>
        <w:t xml:space="preserve">부록 — 전체 출처 목록</w:t>
      </w:r>
    </w:p>
    <w:p>
      <w:pPr>
        <w:pStyle w:val="ListParagraph"/>
        <w:numPr>
          <w:ilvl w:val="0"/>
          <w:numId w:val="2"/>
        </w:numPr>
        <w:spacing w:after="80" w:line="290"/>
      </w:pPr>
      <w:r>
        <w:rPr>
          <w:sz w:val="21"/>
          <w:szCs w:val="21"/>
        </w:rPr>
        <w:t xml:space="preserve">(주)이니스프리 감사보고서 6건 (DART, 2021~2026 제출) — 주석 21 「판매비와관리비」, 리스 주석, 주석 28 「특수관계자 거래」</w:t>
      </w:r>
    </w:p>
    <w:p>
      <w:pPr>
        <w:pStyle w:val="ListParagraph"/>
        <w:numPr>
          <w:ilvl w:val="0"/>
          <w:numId w:val="2"/>
        </w:numPr>
        <w:spacing w:after="80" w:line="290"/>
      </w:pPr>
      <w:r>
        <w:rPr>
          <w:sz w:val="21"/>
          <w:szCs w:val="21"/>
        </w:rPr>
        <w:t xml:space="preserve">공정거래위원회 가맹사업거래 「이니스프리」 정보공개서 (2024년 사업연도)</w:t>
      </w:r>
    </w:p>
    <w:p>
      <w:pPr>
        <w:pStyle w:val="ListParagraph"/>
        <w:numPr>
          <w:ilvl w:val="0"/>
          <w:numId w:val="2"/>
        </w:numPr>
        <w:spacing w:after="80" w:line="290"/>
      </w:pPr>
      <w:r>
        <w:rPr>
          <w:sz w:val="21"/>
          <w:szCs w:val="21"/>
        </w:rPr>
        <w:t xml:space="preserve">네이버 데이터랩 검색어트렌드 (2021.01.01~2025.12.31, 일간·월간) — 팀 직접 조회</w:t>
      </w:r>
    </w:p>
    <w:p>
      <w:pPr>
        <w:pStyle w:val="ListParagraph"/>
        <w:numPr>
          <w:ilvl w:val="0"/>
          <w:numId w:val="2"/>
        </w:numPr>
        <w:spacing w:after="80" w:line="290"/>
      </w:pPr>
      <w:r>
        <w:rPr>
          <w:sz w:val="21"/>
          <w:szCs w:val="21"/>
        </w:rPr>
        <w:t xml:space="preserve">Meta 광고 라이브러리 전수조사 220건 — 팀 직접 수집</w:t>
      </w:r>
    </w:p>
    <w:p>
      <w:pPr>
        <w:pStyle w:val="ListParagraph"/>
        <w:numPr>
          <w:ilvl w:val="0"/>
          <w:numId w:val="2"/>
        </w:numPr>
        <w:spacing w:after="80" w:line="290"/>
      </w:pPr>
      <w:r>
        <w:rPr>
          <w:sz w:val="21"/>
          <w:szCs w:val="21"/>
        </w:rPr>
        <w:t xml:space="preserve">이니스프리 공식 사이트 직접 점검 (robots.txt, 메인페이지 구조) — 2026-08-18</w:t>
      </w:r>
    </w:p>
    <w:p>
      <w:pPr>
        <w:pStyle w:val="ListParagraph"/>
        <w:numPr>
          <w:ilvl w:val="0"/>
          <w:numId w:val="2"/>
        </w:numPr>
        <w:spacing w:after="80" w:line="290"/>
      </w:pPr>
      <w:r>
        <w:rPr>
          <w:sz w:val="21"/>
          <w:szCs w:val="21"/>
        </w:rPr>
        <w:t xml:space="preserve">네이버 블로그 이니스프리 게시물 수집분 60건</w:t>
      </w:r>
    </w:p>
    <w:p>
      <w:pPr>
        <w:pStyle w:val="ListParagraph"/>
        <w:numPr>
          <w:ilvl w:val="0"/>
          <w:numId w:val="2"/>
        </w:numPr>
        <w:spacing w:after="80" w:line="290"/>
      </w:pPr>
      <w:r>
        <w:rPr>
          <w:sz w:val="21"/>
          <w:szCs w:val="21"/>
        </w:rPr>
        <w:t xml:space="preserve">디자인나침반(2023-02-22), 매드타임스(2023-06-27), 비즈워치(2024-04-01), 서울경제TV(2025-04-03)</w:t>
      </w:r>
    </w:p>
    <w:p>
      <w:pPr>
        <w:pStyle w:val="ListParagraph"/>
        <w:numPr>
          <w:ilvl w:val="0"/>
          <w:numId w:val="2"/>
        </w:numPr>
        <w:spacing w:after="80" w:line="290"/>
      </w:pPr>
      <w:r>
        <w:rPr>
          <w:sz w:val="21"/>
          <w:szCs w:val="21"/>
        </w:rPr>
        <w:t xml:space="preserve">더나은미래(2026) "22년째 이어온 이니스프리 공병수거", 아모레스토리 "BOTTLE RE:PLAY", 뷰티누리 "공병공간 오픈"</w:t>
      </w:r>
    </w:p>
    <w:p>
      <w:pPr>
        <w:pStyle w:val="ListParagraph"/>
        <w:numPr>
          <w:ilvl w:val="0"/>
          <w:numId w:val="2"/>
        </w:numPr>
        <w:spacing w:after="80" w:line="290"/>
      </w:pPr>
      <w:r>
        <w:rPr>
          <w:sz w:val="21"/>
          <w:szCs w:val="21"/>
        </w:rPr>
        <w:t xml:space="preserve">첨부 수업자료: 「마케팅 전략 설계」 12~15강·19강 원문 기반 정리 — 핏밀(FitMeal) 케이스 스터디</w:t>
      </w:r>
    </w:p>
    <w:p>
      <w:pPr>
        <w:spacing w:after="160"/>
      </w:pPr>
    </w:p>
    <w:p>
      <w:pPr>
        <w:spacing w:after="140" w:line="300"/>
      </w:pPr>
      <w:r>
        <w:rPr>
          <w:i/>
          <w:iCs/>
          <w:color w:val="808080"/>
          <w:sz w:val="18"/>
          <w:szCs w:val="18"/>
        </w:rPr>
        <w:t xml:space="preserve">공개된 감사보고서·공정거래위원회 정보공개서·네이버 데이터랩·언론보도를 근거로 한 학습용 분석이며, 이니스프리 및 아모레퍼시픽과 무관한 캡스톤 프로젝트 목적의 가상 기획입니다.</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7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432d3151e6ac68a655c94a40846e714dcb31d58.png"/><Relationship Id="rId9" Type="http://schemas.openxmlformats.org/officeDocument/2006/relationships/image" Target="media/f658c2aae3125256f1362c6ac179bab59c998166.png"/><Relationship Id="rId10" Type="http://schemas.openxmlformats.org/officeDocument/2006/relationships/image" Target="media/a81fdf98f70840751d7cb0e8920f3a545b5e44a8.png"/><Relationship Id="rId11" Type="http://schemas.openxmlformats.org/officeDocument/2006/relationships/image" Target="media/3fb56cc2d63b449bd1d0f6d5b8d8c63aad6e6623.png"/><Relationship Id="rId12" Type="http://schemas.openxmlformats.org/officeDocument/2006/relationships/image" Target="media/7fd36a78de8499f98f4e56a58cf70635722ea96e.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2026-08-19T02:05:21.761Z</dcterms:created>
  <dcterms:modified xsi:type="dcterms:W3CDTF">2026-08-19T02:05:21.762Z</dcterms:modified>
</cp:coreProperties>
</file>

<file path=docProps/custom.xml><?xml version="1.0" encoding="utf-8"?>
<Properties xmlns="http://schemas.openxmlformats.org/officeDocument/2006/custom-properties" xmlns:vt="http://schemas.openxmlformats.org/officeDocument/2006/docPropsVTypes"/>
</file>