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00" w:lineRule="auto"/>
        <w:jc w:val="center"/>
      </w:pPr>
      <w:r>
        <w:rPr>
          <w:rFonts w:ascii="Noto Sans KR" w:hAnsi="Noto Sans KR" w:eastAsia="Noto Sans KR"/>
          <w:b/>
          <w:i w:val="0"/>
          <w:color w:val="E78093"/>
          <w:sz w:val="22"/>
        </w:rPr>
        <w:t>INNISFREE BRAND GROWTH STRATEGY</w:t>
      </w:r>
    </w:p>
    <w:p>
      <w:pPr>
        <w:spacing w:before="0" w:after="160" w:line="264" w:lineRule="auto"/>
        <w:jc w:val="center"/>
      </w:pPr>
      <w:r>
        <w:rPr>
          <w:rFonts w:ascii="Noto Sans KR" w:hAnsi="Noto Sans KR" w:eastAsia="Noto Sans KR"/>
          <w:b/>
          <w:color w:val="253531"/>
          <w:sz w:val="50"/>
        </w:rPr>
        <w:t>20분 프레젠테이션</w:t>
        <w:br/>
        <w:t>페이지별 설계안</w:t>
      </w:r>
    </w:p>
    <w:p>
      <w:pPr>
        <w:spacing w:before="0" w:after="480" w:line="300" w:lineRule="auto"/>
        <w:jc w:val="center"/>
      </w:pPr>
      <w:r>
        <w:rPr>
          <w:rFonts w:ascii="Noto Sans KR" w:hAnsi="Noto Sans KR" w:eastAsia="Noto Sans KR"/>
          <w:b w:val="0"/>
          <w:i w:val="0"/>
          <w:color w:val="3F5A45"/>
          <w:sz w:val="25"/>
        </w:rPr>
        <w:t>데이터를 보여주는 발표가 아니라, 데이터를 분석해 도출한 성장 전략을 설득하는 발표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D8"/>
          <w:left w:val="single" w:sz="6" w:space="0" w:color="D7DDD8"/>
          <w:bottom w:val="single" w:sz="6" w:space="0" w:color="D7DDD8"/>
          <w:right w:val="single" w:sz="6" w:space="0" w:color="D7DDD8"/>
          <w:insideH w:val="single" w:sz="6" w:space="0" w:color="D7DDD8"/>
          <w:insideV w:val="single" w:sz="6" w:space="0" w:color="D7DDD8"/>
        </w:tblBorders>
      </w:tblPr>
      <w:tblGrid>
        <w:gridCol w:w="1900"/>
        <w:gridCol w:w="7460"/>
      </w:tblGrid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항목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설계 방향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발표 목적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이니스프리 브랜드 인지도 회복 전략의 필요성과 실행안을 설득한다.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핵심 청중 행동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헤리티지 재활성화 전략과 3년 실행·측정 원칙을 승인한다.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발표 중심축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데이터 → 해석 → 전략적 선택 → 크리에이티브 → 실행 → 승인 요청</w:t>
            </w:r>
          </w:p>
        </w:tc>
      </w:tr>
      <w:tr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본편 분량</w:t>
            </w:r>
          </w:p>
        </w:tc>
        <w:tc>
          <w:tcPr>
            <w:tcW w:type="dxa" w:w="7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26페이지 · 20분</w:t>
            </w:r>
          </w:p>
        </w:tc>
      </w:tr>
    </w:tbl>
    <w:p>
      <w:pPr>
        <w:spacing w:after="40"/>
      </w:pPr>
    </w:p>
    <w:p>
      <w:pPr>
        <w:spacing w:before="0" w:after="0" w:line="300" w:lineRule="auto"/>
        <w:jc w:val="center"/>
      </w:pPr>
      <w:r>
        <w:rPr>
          <w:rFonts w:ascii="Noto Sans KR" w:hAnsi="Noto Sans KR" w:eastAsia="Noto Sans KR"/>
          <w:b w:val="0"/>
          <w:i/>
          <w:color w:val="69736E"/>
          <w:sz w:val="18"/>
        </w:rPr>
        <w:t>작성 기준: 마스터 통합문서·제안서 본문·대시보드 리디자인을 반영한 설득형 발표 설계</w:t>
      </w:r>
    </w:p>
    <w:p>
      <w:r>
        <w:br w:type="page"/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1. 발표 설계의 전제</w:t>
      </w:r>
    </w:p>
    <w:p>
      <w:pPr>
        <w:spacing w:before="0" w:after="20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커뮤니케이션 목표: </w:t>
      </w:r>
      <w:r>
        <w:rPr>
          <w:rFonts w:ascii="Noto Sans KR" w:hAnsi="Noto Sans KR" w:eastAsia="Noto Sans KR"/>
          <w:color w:val="202925"/>
          <w:sz w:val="20"/>
        </w:rPr>
        <w:t>청중이 ‘문제는 리브랜딩 자체보다, 바꾼 뒤 소비자에게 닿고 쌓이고 반복되는 실행 구조가 없었던 것’이라고 이해하고, 증명된 헤리티지 전략과 3년 실행 체계를 승인하게 만든다.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발표의 기본 원칙: </w:t>
      </w:r>
      <w:r>
        <w:rPr>
          <w:rFonts w:ascii="Noto Sans KR" w:hAnsi="Noto Sans KR" w:eastAsia="Noto Sans KR"/>
          <w:color w:val="202925"/>
          <w:sz w:val="20"/>
        </w:rPr>
        <w:t>데이터는 결론을 설명하기 위한 근거로만 사용한다. 각 페이지는 지표보다 ‘그래서 어떤 판단을 했는가’를 먼저 보여준다.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핵심 프레임: </w:t>
      </w:r>
      <w:r>
        <w:rPr>
          <w:rFonts w:ascii="Noto Sans KR" w:hAnsi="Noto Sans KR" w:eastAsia="Noto Sans KR"/>
          <w:color w:val="202925"/>
          <w:sz w:val="20"/>
        </w:rPr>
        <w:t>이것은 데이터 리포트가 아니라 전략 제안서다. 본편에서 데이터 원표·방법론·검증 과정은 최소화하고, 전략의 논리와 실행의 구체성을 앞세운다.</w:t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2. 수정된 전체 시간·페이지 배분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D8"/>
          <w:left w:val="single" w:sz="6" w:space="0" w:color="D7DDD8"/>
          <w:bottom w:val="single" w:sz="6" w:space="0" w:color="D7DDD8"/>
          <w:right w:val="single" w:sz="6" w:space="0" w:color="D7DDD8"/>
          <w:insideH w:val="single" w:sz="6" w:space="0" w:color="D7DDD8"/>
          <w:insideV w:val="single" w:sz="6" w:space="0" w:color="D7DDD8"/>
        </w:tblBorders>
      </w:tblPr>
      <w:tblGrid>
        <w:gridCol w:w="3000"/>
        <w:gridCol w:w="1200"/>
        <w:gridCol w:w="1400"/>
        <w:gridCol w:w="3760"/>
      </w:tblGrid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구간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페이지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시간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역할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오프닝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1~3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1분 50초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핵심 명제와 승인할 방향을 먼저 제시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데이터에서 도출한 진단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4~10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4분 20초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전략이 필요한 이유를 증명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전략적 해석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11~15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3분 40초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타깃·기회·포지셔닝을 선택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전략을 실제 접점으로 전환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16~21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6분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캠페인·공간·페이지·고객 여정 제안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실행·운영·측정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22~25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3분 20초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실행 가능성과 지속 구조를 제시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마무리</w:t>
            </w:r>
          </w:p>
        </w:tc>
        <w:tc>
          <w:tcPr>
            <w:tcW w:type="dxa" w:w="1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26</w:t>
            </w:r>
          </w:p>
        </w:tc>
        <w:tc>
          <w:tcPr>
            <w:tcW w:type="dxa" w:w="14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50초</w:t>
            </w:r>
          </w:p>
        </w:tc>
        <w:tc>
          <w:tcPr>
            <w:tcW w:type="dxa" w:w="3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승인 요청과 최종 메시지</w:t>
            </w:r>
          </w:p>
        </w:tc>
      </w:tr>
    </w:tbl>
    <w:p>
      <w:pPr>
        <w:spacing w:after="40"/>
      </w:pPr>
    </w:p>
    <w:p>
      <w:pPr>
        <w:spacing w:before="0" w:after="20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비중 조정의 핵심: </w:t>
      </w:r>
      <w:r>
        <w:rPr>
          <w:rFonts w:ascii="Noto Sans KR" w:hAnsi="Noto Sans KR" w:eastAsia="Noto Sans KR"/>
          <w:color w:val="202925"/>
          <w:sz w:val="20"/>
        </w:rPr>
        <w:t>이전안보다 순수 데이터 진단 설명은 압축하고, 전략적 해석·크리에이티브·실행 제안에 더 많은 페이지와 시간을 배정했다.</w:t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3. 페이지별 상세 설계</w:t>
      </w:r>
    </w:p>
    <w:p>
      <w:pPr>
        <w:spacing w:before="0" w:after="200" w:line="300" w:lineRule="auto"/>
      </w:pPr>
      <w:r>
        <w:rPr>
          <w:rFonts w:ascii="Noto Sans KR" w:hAnsi="Noto Sans KR" w:eastAsia="Noto Sans KR"/>
          <w:b w:val="0"/>
          <w:i w:val="0"/>
          <w:color w:val="202925"/>
          <w:sz w:val="21"/>
        </w:rPr>
        <w:t>각 페이지는 1순위(화면에 반드시 보여줄 결론), 2순위(결론을 지지하는 근거), 3순위(발표자가 말로 보충하거나 백업으로 이동할 내용), 강조점 순서로 설계한다.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0  |  오프닝·결론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1페이지. 이니스프리 브랜드 인지도 회복 제안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20초  |  페이지 역할: 표지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이번 발표가 브랜드 성장 전략 제안이라는 점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제주 헤리티지와 현재 브랜드 상황을 암시하는 최소한의 시각 요소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팀명·발표자·날짜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이 발표는 과거를 평가하는 보고서가 아니라 다음 실행을 제안하는 자리다.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데이터·그래프·목차를 표지에 넣지 않는다.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2페이지. 리브랜딩은 화제를 만들었지만 브랜드 인지도를 만들지는 못했다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50초  |  페이지 역할: 핵심 명제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화제와 브랜드 자산 전환의 차이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인지 검색 146배, 브랜드 검색 5년 −72.9%, 2026년 1~7월 YoY −31.5%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리브랜딩 이후 제품 관심은 생겼지만 브랜드 기억으로 쌓이지 않았다는 설명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문제는 화제 만들기에 실패한 것이 아니라, 화제를 브랜드 자산으로 전환하지 못한 것이다.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수치를 하나씩 설명하지 말고 발표 전체의 결론을 먼저 심는다.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3페이지. 오늘 제안하는 것은 ‘제주 복귀’가 아니라 ‘선택의 이유 회복’이다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40초  |  페이지 역할: 의사결정 예고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헤리티지 고객 재활성화·증명된 헤리티지·3년 지속 실행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발표 흐름: 문제 → 전략적 선택 → 실행 제안 → 승인 요청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청중에게 필요한 결정의 종류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옛날 이니스프리로 돌아가자는 것이 아니라, 제주를 소비자가 선택하는 근거로 다시 연결하자는 제안이다.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단순한 목차 페이지 대신 승인할 방향을 먼저 예고한다.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1  |  데이터에서 도출한 진단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4페이지. 브랜드 관심은 리브랜딩 이후에도 회복되지 않았다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35초  |  페이지 역할: 문제의 현재 상태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브랜드 인지도 하락은 일시적 반응이 아니라 지속 추세라는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브랜드 검색지수 8.503 → 2.302, 5년 −72.9%, 2026년 1~7월 −31.5%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대시보드의 브랜드 검색 추이 화면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해결하려는 문제는 디자인 선호도가 아니라 브랜드를 다시 찾게 만드는 구조의 부재다.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5페이지. 제품에 대한 관심은 브랜드 기억으로 쌓이지 않았다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40초  |  페이지 역할: 제품-브랜드 괴리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제품 관심과 브랜드 자산은 별개의 성과라는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제품군 +118.5% vs 브랜드 −23.9%, 그린티 관심은 단기 스파이크 후 소멸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제품 검색과 브랜드 검색 추이 비교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제품을 팔 기회는 만들었지만, 그 제품을 통해 브랜드를 다시 기억하게 만들지는 못했다.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제품 중심 전략을 그대로 반복하자는 반론을 차단하는 페이지다.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6페이지. 광고비는 브랜드가 아니라 제품으로 흘렀다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35초  |  페이지 역할: 자원 연결 실패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투입과 인지도 성과의 연결 방식이 잘못되었다는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광고선전비↔브랜드 검색 r=−0.03, 광고선전비↔제품 검색 r=+0.69, 2023년 증가 후 2024년 −20.6% 축소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광고비 산점도와 제품·브랜드 검색 비교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광고비를 더 쓰느냐가 아니라, 인지도에 연결되는 예산 구조와 지속 기간이 없었다.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‘광고비를 늘려서 매출이 줄었다’고 말하지 않는다.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7페이지. 매장은 판매점이 아니라 브랜드의 무료 미디어였다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35초  |  페이지 역할: 접점 소멸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오프라인 접점의 소멸이 브랜드 노출의 소멸이었다는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매장 400개 → 190개, 매장 수↔브랜드 검색 r=0.98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매장 수와 브랜드 검색 산점도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매장을 다시 400개로 늘리자는 것이 아니라, 매장이 하던 브랜드 노출 기능을 대체해야 한다.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r=0.98을 인과관계로 말하지 않는다.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8페이지. 제주 자산도, 기능성 전략도 계속 방치할 수 없다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35초  |  페이지 역할: 자산 감가와 전략 한계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과거 자산과 현재 전략 모두 지속성이 약해지고 있다는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2025년 제주 절대 검색이 브랜드보다 빠르게 하락, 제품군도 정점 대비 −37.4%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제주 vs 브랜드 낙폭 비교와 제품군 정점 이후 하락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제주를 다시 활용해야 하는 이유는 과거가 아름다워서가 아니라, 사용하지 않으면 사라질 수 있는 자산이기 때문이다.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9페이지. AEO 형식은 갖췄지만, 소비자에게 말하는 메시지가 없다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30초  |  페이지 역할: 디지털 발견 경로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기술 부재가 아니라 메시지 배치 부재가 문제라는 해석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AEO 형식 4/4 완비, 타깃 질의어 34개 중 헤리티지 단어 0개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‘기계에게는 7,595자, 사람에게는 0줄’이라는 대비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기술은 준비되어 있지만, AI와 소비자가 발견할 수 있는 자리에는 핵심 이야기가 없다.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‘AEO 대응이 전무하다’ 또는 ‘공식몰에 제주가 없다’고 말하지 않는다.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10페이지. 다섯 가지 문제는 ‘전달·접점·지속’의 실패로 수렴한다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50초  |  페이지 역할: 진단 종합과 전략 브리지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데이터를 하나의 전략적 판단으로 압축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A~E 문제를 전달·자원 연결·접점·브랜드 축적·발견 경로로 재분류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문제 A~E와 이후 전략 과제의 매핑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방향 자체가 완전히 틀린 것이 아니라, 바꾼 뒤 소비자에게 닿고 쌓이고 반복되는 구조가 없었다.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이 페이지가 데이터 파트와 전략 파트를 연결하는 핵심 브리지다.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2  |  전략적 해석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11페이지. 가장 먼저 되찾아야 할 사람은 신규 고객이 아니다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40초  |  페이지 역할: 타깃 선정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헤리티지를 기억하지만 접점을 잃은 고객을 1순위로 선정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제주 연상이 완전히 사라지지 않았고, 과거 경험이 있으며, 신규 설득보다 재상기가 빠름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성분 탐색형은 2순위로 상세페이지에서 대응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가장 설득하기 쉬운 사람부터 다시 연결해야 한다.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12페이지. 경쟁사가 비워둔 곳에 이니스프리의 기회가 있다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35초  |  페이지 역할: 경쟁 기회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경쟁사보다 더 많이가 아니라, 다르게 말할 수 있다는 판단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이니스프리·미샤·3CE 등 브랜드 서사 광고 0건, 업계 전체가 제품·할인·유통 중심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경쟁사 광고 유형 비교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경쟁사가 하지 않는 방식으로 말하는 것 자체가 차별화가 된다.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13페이지. 소비자는 제주를 검색하러 오지 않는다. 하지만 제주 때문에 선택할 수 있다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45초  |  페이지 역할: 소비자 선택 구조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제주의 역할을 진입 키워드에서 선택 근거로 재정의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진입: 수분크림·선크림 → 선택: 이니스프리 그린티 → 확신: 제주 원산지와 20년 축적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소비자 여정 한 줄 구조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제주는 진입 키워드가 아니라, 일반명사 경쟁에서 최종 선택을 만드는 근거다.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‘제주를 그린티에 실으면 작동한다’는 표현은 가설로만 다룬다.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14페이지. 포지셔닝: ‘그때 믿었던 게, 지금도 맞았다’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50초  |  페이지 역할: 전략 문장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헤리티지 고객에게 전달할 핵심 가치제안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기억의 회복, 데이터와 원산지의 근거, 경쟁사와의 차별점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핵심 키워드 ‘증명된 헤리티지’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이 문장은 슬로건이 아니라 이후 모든 실행을 평가하는 전략 기준선이다.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15페이지. 이 전략은 과거 복원이 아니라 헤리티지의 계승이다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50초  |  페이지 역할: 전략 가드레일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무엇을 바꾸고 무엇을 유지할지에 대한 기준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과거 로고·컬러·매장을 전부 되돌리지 않고, 제주를 제품·콘텐츠·공간의 선택 근거로 재배치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‘과거의 제주’와 ‘증명된 헤리티지’ 비교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제주로 돌아가는 것이 아니라, 현재의 이니스프리가 제주를 다시 설명할 수 있게 만드는 것이다.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3  |  전략을 실제 접점으로 옮기는 제안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16페이지. 제안의 중심 아이디어: 증명된 헤리티지를 다시 보이게 하자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55초  |  페이지 역할: 전략의 실행 언어 전환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분석 결과를 캠페인·공간·콘텐츠·반복 구조로 번역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기억: 오랜만이에요 / 근거: 제주 원료와 20년 축적 / 경험: 공병공간 / 반복: 콘텐츠·상세·재방문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전체 전략 구조를 하나의 흐름으로 표현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새로운 이야기를 발명하는 것이 아니라, 이미 있는 자산이 소비자에게 보이도록 연결한다.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17페이지. 캠페인: ‘오랜만이에요’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1분  |  페이지 역할: 휴면 고객 재활성화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과거 고객에게 다시 말을 거는 재회형 캠페인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할인보다 기억과 신뢰 중심, 그때의 성분이 지금도 유효하다는 메시지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캠페인 무드보드와 실제 카피 예시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신규 고객을 크게 외치는 캠페인이 아니라, 이미 이니스프리를 알았던 사람에게 다시 말을 거는 캠페인이다.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18페이지. 공병공간: 이미 있는 자산을 브랜드 접점으로 확장한다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1분 10초  |  페이지 역할: 오프라인 체험 거점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매장을 많이 여는 대신 브랜드를 기억하게 만드는 경험을 만든다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80년 한옥, 공병 23만 개, 그린사이클 23년, 제주 원료와 지속가능성 경험 연결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기존 공간에서 확장 가능한 체험 요소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공병공간은 신규 발명이 아니라 이미 있는 자산을 앞으로 꺼내는 실행이다.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19페이지. 랜딩페이지: 첫 화면에서 브랜드의 이유를 선언한다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55초  |  페이지 역할: 브랜드 발견 접점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공식몰을 제품 목록이 아니라 브랜드를 이해하는 입구로 전환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‘왜 이니스프리인가’ 선언, 제주 원료 20년 타임라인, 수치·FAQ·구조화된 답변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현재 페이지와 제안 페이지의 Before/After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공식몰 첫 화면에서 브랜드의 이유를 이해하게 만든다.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20페이지. 상세페이지: 제품에서 브랜드로 건너가는 다리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1분  |  페이지 역할: 제품-브랜드 브리지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제품 검색을 브랜드 재검색과 재방문으로 연결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일반명사 유입 → 성분·효능 → 제주 원산지·20년 근거 → 브랜드 스토리·공병공간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상세페이지 구성 목업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제품을 팔고 끝나는 것이 아니라, 제품을 산 사람이 이니스프리를 다시 기억하게 만든다.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21페이지. 네 가지 제안은 하나의 고객 여정으로 연결된다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1분  |  페이지 역할: 통합 성장 구조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각 제안이 독립 아이디어가 아니라 하나의 고객 경험이라는 점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일반명사 유입 → 제품 발견 → 제주와 데이터로 선택 → 경험 → 재검색·재방문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캠페인·상세·랜딩·공병공간 연결 구조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콘텐츠 하나를 잘 만드는 것이 아니라, 제품 관심이 브랜드 기억으로 이어지는 경로를 설계한다.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4  |  실행·운영·측정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22페이지. 실행은 세 단계로 시작한다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55초  |  페이지 역할: 실행 로드맵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실행 가능성과 우선순위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0~30일: 채널 감사·플랫폼 제휴 / 30~90일: 캠페인·랜딩·상세·콘텐츠 / 90일 이후: 공병공간 확장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단계별 선행 조건과 의사결정 포인트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처음부터 모두 바꾸지 않고, 빠르게 검증할 것과 조직 승인이 필요한 것을 분리한다.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23페이지. 예산은 ‘더 많이’가 아니라 ‘더 오래, 목적에 맞게’ 써야 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45초  |  페이지 역할: 예산 운영 원칙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다시 1년 만에 철회되지 않는 운영 구조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TOFU와 BOFU 예산 분리, 단기 재배치가 아닌 순증, 최소 3년 사전 확약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2023년 증액 후 1년 만에 축소된 과거 패턴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이 제안의 예산 처방은 단순 증액이 아니라 지속 가능한 운영 방식이다.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확정되지 않은 예산 금액은 임의로 넣지 않는다.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24페이지. 성공은 목표 숫자가 아니라 판정 기준으로 관리한다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45초  |  페이지 역할: KPI 원칙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캠페인 실행 여부가 아니라 자연 추세 대비 개선을 판정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브랜드 검색지수, 제주 연상 비중, 제품-브랜드 Gap, 직접경쟁 3사 점유율, AEO 실행 지표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90·180·360일 게이트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캠페인을 했다는 사실이 아니라, 자연적으로 일어날 변화보다 더 좋아졌는지를 본다.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AEO는 소비자 인지도 KPI가 아니라 실행 지표로 구분한다.</w:t>
      </w: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25페이지. 대시보드는 제안 이후에도 약속을 지키게 하는 장치다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55초  |  페이지 역할: 운영 모니터링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대시보드는 데이터를 보여주는 화면이 아니라 전략 의사결정 장치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90일 하락폭 축소, 180일 브랜드 연결, 360일 접점·검색 회복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대시보드 리디자인 화면 한 장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제안이 끝난 뒤에도 같은 질문을 반복해서 확인하고, 확대·수정·중단 시점을 판단한다.</w:t>
      </w:r>
    </w:p>
    <w:p>
      <w:pPr>
        <w:spacing w:before="0" w:after="180" w:line="293" w:lineRule="auto"/>
        <w:shd w:fill="FFF7E6"/>
      </w:pPr>
      <w:r>
        <w:rPr>
          <w:rFonts w:ascii="Noto Sans KR" w:hAnsi="Noto Sans KR" w:eastAsia="Noto Sans KR"/>
          <w:b/>
          <w:color w:val="3F5A45"/>
          <w:sz w:val="20"/>
        </w:rPr>
        <w:t xml:space="preserve">주의: </w:t>
      </w:r>
      <w:r>
        <w:rPr>
          <w:rFonts w:ascii="Noto Sans KR" w:hAnsi="Noto Sans KR" w:eastAsia="Noto Sans KR"/>
          <w:color w:val="202925"/>
          <w:sz w:val="20"/>
        </w:rPr>
        <w:t>전체 화면 투어 대신 핵심 화면 한 장과 판정 로직만 보여준다.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3F5A45"/>
          <w:left w:val="single" w:sz="0" w:space="0" w:color="3F5A45"/>
          <w:bottom w:val="single" w:sz="0" w:space="0" w:color="3F5A45"/>
          <w:right w:val="single" w:sz="0" w:space="0" w:color="3F5A45"/>
          <w:insideH w:val="single" w:sz="0" w:space="0" w:color="3F5A45"/>
          <w:insideV w:val="single" w:sz="0" w:space="0" w:color="3F5A45"/>
        </w:tblBorders>
      </w:tblPr>
      <w:tblGrid>
        <w:gridCol w:w="9360"/>
      </w:tblGrid>
      <w:tr>
        <w:tc>
          <w:tcPr>
            <w:tcW w:type="dxa" w:w="9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253531"/>
          </w:tcPr>
          <w:p>
            <w:pPr>
              <w:spacing w:before="0" w:after="0" w:line="240" w:lineRule="auto"/>
            </w:pPr>
            <w:r>
              <w:rPr>
                <w:rFonts w:ascii="Noto Sans KR" w:hAnsi="Noto Sans KR" w:eastAsia="Noto Sans KR"/>
                <w:b/>
                <w:color w:val="FAFAF7"/>
                <w:sz w:val="22"/>
              </w:rPr>
              <w:t>PART 5  |  마무리·승인 요청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Noto Sans KR" w:hAnsi="Noto Sans KR" w:eastAsia="Noto Sans KR"/>
          <w:b/>
          <w:color w:val="253531"/>
          <w:sz w:val="26"/>
        </w:rPr>
        <w:t>26페이지. 이니스프리는 자산이 부족한 것이 아니라, 자산을 닿게 하는 실행이 부족했다</w:t>
      </w:r>
    </w:p>
    <w:p>
      <w:pPr>
        <w:spacing w:before="0" w:after="140" w:line="300" w:lineRule="auto"/>
      </w:pPr>
      <w:r>
        <w:rPr>
          <w:rFonts w:ascii="Noto Sans KR" w:hAnsi="Noto Sans KR" w:eastAsia="Noto Sans KR"/>
          <w:b w:val="0"/>
          <w:i/>
          <w:color w:val="69736E"/>
          <w:sz w:val="19"/>
        </w:rPr>
        <w:t>발표 시간: 50초  |  페이지 역할: 최종 제안과 승인 요청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1순위: </w:t>
      </w:r>
      <w:r>
        <w:rPr>
          <w:rFonts w:ascii="Noto Sans KR" w:hAnsi="Noto Sans KR" w:eastAsia="Noto Sans KR"/>
          <w:color w:val="202925"/>
          <w:sz w:val="20"/>
        </w:rPr>
        <w:t>헤리티지 고객 재활성화·페이지 개편·공병공간 확장·3년 측정 체계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2순위: </w:t>
      </w:r>
      <w:r>
        <w:rPr>
          <w:rFonts w:ascii="Noto Sans KR" w:hAnsi="Noto Sans KR" w:eastAsia="Noto Sans KR"/>
          <w:color w:val="202925"/>
          <w:sz w:val="20"/>
        </w:rPr>
        <w:t>오늘 승인받아야 할 세 가지: 전략 방향, 90일 착수, 3년 운영 원칙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3순위: </w:t>
      </w:r>
      <w:r>
        <w:rPr>
          <w:rFonts w:ascii="Noto Sans KR" w:hAnsi="Noto Sans KR" w:eastAsia="Noto Sans KR"/>
          <w:color w:val="202925"/>
          <w:sz w:val="20"/>
        </w:rPr>
        <w:t>최종 메시지</w:t>
      </w:r>
    </w:p>
    <w:p>
      <w:pPr>
        <w:spacing w:before="0" w:after="140" w:line="293" w:lineRule="auto"/>
        <w:shd w:fill="FBECEF"/>
      </w:pPr>
      <w:r>
        <w:rPr>
          <w:rFonts w:ascii="Noto Sans KR" w:hAnsi="Noto Sans KR" w:eastAsia="Noto Sans KR"/>
          <w:b/>
          <w:color w:val="3F5A45"/>
          <w:sz w:val="20"/>
        </w:rPr>
        <w:t xml:space="preserve">강조: </w:t>
      </w:r>
      <w:r>
        <w:rPr>
          <w:rFonts w:ascii="Noto Sans KR" w:hAnsi="Noto Sans KR" w:eastAsia="Noto Sans KR"/>
          <w:color w:val="202925"/>
          <w:sz w:val="20"/>
        </w:rPr>
        <w:t>오늘 승인받고 싶은 것은 단일 캠페인이 아니라, 자산을 소비자 선택과 브랜드 기억으로 연결하는 3년 실행 체계다.</w:t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4. 본편에서 줄이거나 백업으로 이동할 내용</w:t>
      </w:r>
    </w:p>
    <w:p>
      <w:pPr>
        <w:spacing w:before="0" w:after="160" w:line="300" w:lineRule="auto"/>
      </w:pPr>
      <w:r>
        <w:rPr>
          <w:rFonts w:ascii="Noto Sans KR" w:hAnsi="Noto Sans KR" w:eastAsia="Noto Sans KR"/>
          <w:b w:val="0"/>
          <w:i w:val="0"/>
          <w:color w:val="202925"/>
          <w:sz w:val="21"/>
        </w:rPr>
        <w:t>본편은 분석 과정을 전부 증명하는 자리가 아니라, 분석 결과가 왜 이 전략으로 이어지는지 납득시키는 자리다. 다음 내용은 질의응답용 백업 슬라이드로 이동한다.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PESTEL·5 Forces의 세부 분석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원자료 전체 표와 모든 경쟁 브랜드의 세부 검색 수치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상관계수 산출 과정과 데이터 계열의 상세 차이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제주 연상 정의 변경의 전체 히스토리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AEO 1/4에서 4/4로 바뀐 조사 과정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출처 등급·방법론 세부사항</w:t>
      </w:r>
    </w:p>
    <w:p>
      <w:pPr>
        <w:spacing w:before="0" w:after="6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백업 이동: </w:t>
      </w:r>
      <w:r>
        <w:rPr>
          <w:rFonts w:ascii="Noto Sans KR" w:hAnsi="Noto Sans KR" w:eastAsia="Noto Sans KR"/>
          <w:color w:val="202925"/>
          <w:sz w:val="20"/>
        </w:rPr>
        <w:t>매출·영업이익을 본편에서 제외한 이유</w:t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5. 발표 표기 가드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AEO: </w:t>
      </w:r>
      <w:r>
        <w:rPr>
          <w:rFonts w:ascii="Noto Sans KR" w:hAnsi="Noto Sans KR" w:eastAsia="Noto Sans KR"/>
          <w:color w:val="202925"/>
          <w:sz w:val="20"/>
        </w:rPr>
        <w:t>‘대응 전무’가 아니라 ‘형식 4/4 완비, 실제 AI 답변 인용은 별도 검증’으로 표기한다.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제주 연상: </w:t>
      </w:r>
      <w:r>
        <w:rPr>
          <w:rFonts w:ascii="Noto Sans KR" w:hAnsi="Noto Sans KR" w:eastAsia="Noto Sans KR"/>
          <w:color w:val="202925"/>
          <w:sz w:val="20"/>
        </w:rPr>
        <w:t>‘상승했다’가 아니라 ‘브랜드보다 오래 버텼으나 2025년 우위가 역전됐다’고 말한다.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전략 문장: </w:t>
      </w:r>
      <w:r>
        <w:rPr>
          <w:rFonts w:ascii="Noto Sans KR" w:hAnsi="Noto Sans KR" w:eastAsia="Noto Sans KR"/>
          <w:color w:val="202925"/>
          <w:sz w:val="20"/>
        </w:rPr>
        <w:t>‘제주를 그린티에 실으면 작동한다’는 미검증 가설로 표시하고, 확정 전략은 ‘제주는 선택 근거’로 둔다.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경쟁 분모: </w:t>
      </w:r>
      <w:r>
        <w:rPr>
          <w:rFonts w:ascii="Noto Sans KR" w:hAnsi="Noto Sans KR" w:eastAsia="Noto Sans KR"/>
          <w:color w:val="202925"/>
          <w:sz w:val="20"/>
        </w:rPr>
        <w:t>검색 점유율 판정은 직접경쟁 3사(이니스프리·미샤·3CE)로 통일한다.</w:t>
      </w:r>
    </w:p>
    <w:p>
      <w:pPr>
        <w:spacing w:before="0" w:after="100" w:line="293" w:lineRule="auto"/>
      </w:pPr>
      <w:r>
        <w:rPr>
          <w:rFonts w:ascii="Noto Sans KR" w:hAnsi="Noto Sans KR" w:eastAsia="Noto Sans KR"/>
          <w:b/>
          <w:color w:val="3F5A45"/>
          <w:sz w:val="20"/>
        </w:rPr>
        <w:t xml:space="preserve">인과 표현: </w:t>
      </w:r>
      <w:r>
        <w:rPr>
          <w:rFonts w:ascii="Noto Sans KR" w:hAnsi="Noto Sans KR" w:eastAsia="Noto Sans KR"/>
          <w:color w:val="202925"/>
          <w:sz w:val="20"/>
        </w:rPr>
        <w:t>상관은 관찰로만 말하고, 실행 제안은 ‘대체해야 할 기능’과 ‘검증할 가설’로 표현한다.</w:t>
      </w: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6. 질의응답용 백업 슬라이드 권장 구성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D7DDD8"/>
          <w:left w:val="single" w:sz="6" w:space="0" w:color="D7DDD8"/>
          <w:bottom w:val="single" w:sz="6" w:space="0" w:color="D7DDD8"/>
          <w:right w:val="single" w:sz="6" w:space="0" w:color="D7DDD8"/>
          <w:insideH w:val="single" w:sz="6" w:space="0" w:color="D7DDD8"/>
          <w:insideV w:val="single" w:sz="6" w:space="0" w:color="D7DDD8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백업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8E6D6"/>
          </w:tcPr>
          <w:p>
            <w:pPr>
              <w:spacing w:before="0" w:after="0" w:line="252" w:lineRule="auto"/>
            </w:pPr>
            <w:r>
              <w:rPr>
                <w:rFonts w:ascii="Noto Sans KR" w:hAnsi="Noto Sans KR" w:eastAsia="Noto Sans KR"/>
                <w:b/>
                <w:color w:val="253531"/>
                <w:sz w:val="18"/>
              </w:rPr>
              <w:t>대비할 질문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B1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이 숫자의 출처와 신뢰도는 무엇인가?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B2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r=0.98이면 매장을 늘리면 되는 것 아닌가?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B3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제주 연상 비중은 정확히 무엇을 뜻하는가?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B4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왜 토니모리를 직접 비교군에서 제외했는가?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B5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자료마다 검색 수치가 다른 이유는 무엇인가?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B6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데이터를 직접 재현할 수 있는가?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B7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왜 매출·영업이익을 본편에서 다루지 않았는가?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B8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before="0" w:after="0" w:line="269" w:lineRule="auto"/>
            </w:pPr>
            <w:r>
              <w:rPr>
                <w:rFonts w:ascii="Noto Sans KR" w:hAnsi="Noto Sans KR" w:eastAsia="Noto Sans KR"/>
                <w:color w:val="202925"/>
                <w:sz w:val="18"/>
              </w:rPr>
              <w:t>이 분석의 가장 큰 한계는 무엇인가?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Noto Sans KR" w:hAnsi="Noto Sans KR" w:eastAsia="Noto Sans KR"/>
          <w:b/>
          <w:color w:val="3F5A45"/>
          <w:sz w:val="32"/>
        </w:rPr>
        <w:t>7. 근거 자료</w:t>
      </w:r>
    </w:p>
    <w:p>
      <w:pPr>
        <w:spacing w:before="0" w:after="100" w:line="300" w:lineRule="auto"/>
      </w:pPr>
      <w:r>
        <w:rPr>
          <w:rFonts w:ascii="Noto Sans KR" w:hAnsi="Noto Sans KR" w:eastAsia="Noto Sans KR"/>
          <w:b w:val="0"/>
          <w:i w:val="0"/>
          <w:color w:val="202925"/>
          <w:sz w:val="21"/>
        </w:rPr>
        <w:t>본 설계안은 다음 내부 자료의 최신 기준을 반영했다.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MASTER_통합문서.md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03_기획/제안서_본문.md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03_기획/KPI_판정기준표_초안.md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01_분석결과/핵심발견_발표용.md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01_분석결과/2026-08_공식몰_AI대응_실사.md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05_대시보드/redesign/index.html</w:t>
      </w:r>
    </w:p>
    <w:p>
      <w:pPr>
        <w:spacing w:before="0" w:after="40" w:line="300" w:lineRule="auto"/>
      </w:pPr>
      <w:r>
        <w:rPr>
          <w:rFonts w:ascii="Noto Sans KR" w:hAnsi="Noto Sans KR" w:eastAsia="Noto Sans KR"/>
          <w:b w:val="0"/>
          <w:i w:val="0"/>
          <w:color w:val="69736E"/>
          <w:sz w:val="19"/>
        </w:rPr>
        <w:t>05_대시보드/data/dashboard_data.json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152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Noto Sans KR" w:hAnsi="Noto Sans KR" w:eastAsia="Noto Sans KR"/>
        <w:color w:val="69736E"/>
        <w:sz w:val="17"/>
      </w:rPr>
      <w:t>INNISFREE BRAND GROWTH STRATEGY  |  20분 발표 설계안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Noto Sans KR" w:hAnsi="Noto Sans KR" w:eastAsia="Noto Sans KR"/>
        <w:color w:val="69736E"/>
        <w:sz w:val="17"/>
      </w:rPr>
      <w:t>20분 프레젠테이션 페이지별 설계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00" w:lineRule="auto"/>
    </w:pPr>
    <w:rPr>
      <w:rFonts w:ascii="Noto Sans KR" w:hAnsi="Noto Sans KR" w:eastAsia="Noto Sans KR"/>
      <w:color w:val="20292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KR" w:hAnsi="Noto Sans KR" w:eastAsia="Noto Sans KR"/>
      <w:b/>
      <w:bCs/>
      <w:color w:val="3F5A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KR" w:hAnsi="Noto Sans KR" w:eastAsia="Noto Sans KR"/>
      <w:b/>
      <w:bCs/>
      <w:color w:val="25353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KR" w:hAnsi="Noto Sans KR" w:eastAsia="Noto Sans KR"/>
      <w:b/>
      <w:bCs/>
      <w:color w:val="3F5A4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20분 프레젠테이션 페이지별 설계안</dc:title>
  <dc:subject>이니스프리 브랜드 성장 전략 발표 설계</dc:subject>
  <dc:creator>Codex</dc:creator>
  <cp:keywords/>
  <dc:description>설득형 프레젠테이션 페이지별 우선순위 및 강조점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