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{{ 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seller_inn }}, </w:t>
            </w:r>
            <w:r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0" distR="0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>
        <w:rPr>
          <w:rFonts w:ascii="Calibri Light" w:hAnsi="Calibri Light" w:cs="Calibri Light"/>
          <w:sz w:val="26"/>
          <w:szCs w:val="26"/>
        </w:rPr>
        <w:t>Счет</w:t>
      </w:r>
      <w:r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{{ order_name }} </w:t>
      </w:r>
      <w:r>
        <w:rPr>
          <w:rFonts w:ascii="Calibri Light" w:hAnsi="Calibri Light" w:cs="Calibri Light"/>
          <w:color w:val="000000"/>
          <w:sz w:val="26"/>
          <w:szCs w:val="26"/>
        </w:rPr>
        <w:t>от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{{ order_date }} </w:t>
      </w:r>
      <w:r>
        <w:rPr>
          <w:rFonts w:ascii="Calibri Light" w:hAnsi="Calibri Light" w:cs="Calibri Light"/>
          <w:color w:val="000000"/>
          <w:sz w:val="26"/>
          <w:szCs w:val="26"/>
        </w:rPr>
        <w:t>г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>
      <w:pPr>
        <w:rPr>
          <w:rFonts w:ascii="Calibri Light" w:hAnsi="Calibri Light" w:cs="Calibri Light"/>
          <w:sz w:val="23"/>
          <w:szCs w:val="23"/>
          <w:lang w:val="en-US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 xml:space="preserve">,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b/>
          <w:sz w:val="20"/>
          <w:szCs w:val="20"/>
          <w:lang w:val="en-US"/>
        </w:rPr>
        <w:t xml:space="preserve"> {{ partner_name }}, 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ИНН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partner_inn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partner_rs }} </w:t>
      </w:r>
      <w:r>
        <w:rPr>
          <w:rFonts w:ascii="Calibri Light" w:hAnsi="Calibri Light" w:cs="Calibri Light"/>
          <w:b/>
          <w:bCs/>
          <w:sz w:val="20"/>
          <w:szCs w:val="20"/>
        </w:rPr>
        <w:t>в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partner_ks }} </w:t>
      </w:r>
      <w:r>
        <w:rPr>
          <w:rFonts w:ascii="Calibri Light" w:hAnsi="Calibri Light" w:cs="Calibri Light"/>
          <w:b/>
          <w:bCs/>
          <w:sz w:val="20"/>
          <w:szCs w:val="20"/>
        </w:rPr>
        <w:t>БИК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partner_bic }} </w:t>
      </w:r>
    </w:p>
    <w:p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</w:rPr>
        <w:t>Основание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>
        <w:rPr>
          <w:rFonts w:ascii="Calibri Light" w:hAnsi="Calibri Light" w:cs="Arial"/>
          <w:b/>
          <w:bCs/>
          <w:sz w:val="18"/>
          <w:szCs w:val="18"/>
        </w:rPr>
        <w:t>Договор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contract_number }} </w:t>
      </w:r>
      <w:r>
        <w:rPr>
          <w:rFonts w:ascii="Calibri Light" w:hAnsi="Calibri Light" w:cs="Arial"/>
          <w:b/>
          <w:bCs/>
          <w:sz w:val="18"/>
          <w:szCs w:val="18"/>
        </w:rPr>
        <w:t>от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{{ dd }}.{{ mm }}.{{ yyyy }}, </w:t>
      </w:r>
      <w:r>
        <w:rPr>
          <w:rFonts w:ascii="Calibri Light" w:hAnsi="Calibri Light" w:cs="Arial"/>
          <w:b/>
          <w:bCs/>
          <w:sz w:val="18"/>
          <w:szCs w:val="18"/>
        </w:rPr>
        <w:t>Приложение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annex_number }} – </w:t>
      </w:r>
      <w:r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Style w:val="9"/>
        <w:tblW w:w="103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3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4,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bookmarkStart w:id="0" w:name="_GoBack"/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payment_part_one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payment_part_two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payment_part_three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delivery_period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bookmarkEnd w:id="0"/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40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7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4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45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5A0A9E55"/>
    <w:rsid w:val="ECB586AC"/>
    <w:rsid w:val="F23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qFormat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qFormat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qFormat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qFormat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jc w:val="center"/>
    </w:pPr>
    <w:rPr>
      <w:b/>
      <w:bCs/>
    </w:rPr>
  </w:style>
  <w:style w:type="character" w:customStyle="1" w:styleId="93">
    <w:name w:val="Balloon Text Char"/>
    <w:link w:val="10"/>
    <w:semiHidden/>
    <w:qFormat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Heading 5 Char"/>
    <w:link w:val="6"/>
    <w:qFormat/>
    <w:uiPriority w:val="0"/>
    <w:rPr>
      <w:b/>
      <w:bCs/>
      <w:sz w:val="22"/>
      <w:szCs w:val="24"/>
      <w:lang w:eastAsia="zh-CN"/>
    </w:rPr>
  </w:style>
  <w:style w:type="character" w:customStyle="1" w:styleId="95">
    <w:name w:val="Comment Text Char"/>
    <w:link w:val="15"/>
    <w:semiHidden/>
    <w:qFormat/>
    <w:uiPriority w:val="99"/>
    <w:rPr>
      <w:lang w:eastAsia="zh-CN"/>
    </w:rPr>
  </w:style>
  <w:style w:type="character" w:customStyle="1" w:styleId="96">
    <w:name w:val="Comment Subject Char"/>
    <w:link w:val="16"/>
    <w:semiHidden/>
    <w:qFormat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2020-01-19T03:33:00Z</dcterms:created>
  <dc:creator>1</dc:creator>
  <cp:lastModifiedBy>rydlab</cp:lastModifiedBy>
  <cp:lastPrinted>2017-02-17T16:20:00Z</cp:lastPrinted>
  <dcterms:modified xsi:type="dcterms:W3CDTF">2020-01-20T13:28:39Z</dcterms:modified>
  <dc:title>ГЕНЕРАЛЬНОЕ СОГЛАШЕНИЕ №________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