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57" w:lineRule="auto"/>
        <w:jc w:val="center"/>
        <w:rPr>
          <w:rFonts w:hint="default" w:ascii="Calibri Light" w:hAnsi="Calibri Light" w:cs="Times New Roman"/>
          <w:b/>
          <w:bCs/>
          <w:color w:val="000000"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</w:t>
      </w:r>
      <w:r>
        <w:rPr>
          <w:rFonts w:hint="default" w:ascii="Calibri Light" w:hAnsi="Calibri Light" w:cs="Times New Roman"/>
          <w:b/>
          <w:bCs/>
          <w:color w:val="000000"/>
          <w:sz w:val="24"/>
          <w:szCs w:val="24"/>
          <w:lang w:val="en"/>
        </w:rPr>
        <w:t>}</w:t>
      </w: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“{{ partner_email }}” (Email), “{{ partner_whatsapp }}” (WhatsApp), “{{ partner_telegram }}” (Telegram)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“{{ seller_email }}” (Email), “{{ seller_whatsapp }}” (WhatsApp), “{{ selle</w:t>
      </w:r>
      <w:bookmarkStart w:id="2" w:name="_GoBack"/>
      <w:bookmarkEnd w:id="2"/>
      <w:r>
        <w:rPr>
          <w:rFonts w:hint="default" w:ascii="Calibri Light" w:hAnsi="Calibri Light" w:cs="Times New Roman"/>
          <w:sz w:val="24"/>
          <w:szCs w:val="24"/>
          <w:lang w:val="en"/>
        </w:rPr>
        <w:t>r_telegram }}” (Telegram)</w:t>
      </w:r>
      <w:r>
        <w:rPr>
          <w:rFonts w:ascii="Calibri Light" w:hAnsi="Calibri Light" w:cs="Times New Roman"/>
          <w:sz w:val="24"/>
          <w:szCs w:val="24"/>
          <w:lang w:val="ru-RU"/>
        </w:rPr>
        <w:t>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keepNext w:val="0"/>
        <w:keepLines w:val="0"/>
        <w:pageBreakBefore/>
        <w:widowControl w:val="0"/>
        <w:numPr>
          <w:ilvl w:val="0"/>
          <w:numId w:val="1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252" w:lineRule="auto"/>
        <w:ind w:left="0" w:firstLine="0"/>
        <w:jc w:val="center"/>
        <w:textAlignment w:val="auto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partner_representer_passport_date }}</w:t>
            </w:r>
          </w:p>
          <w:p>
            <w:pPr>
              <w:pStyle w:val="21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partner_representer_passport_department }}</w:t>
            </w:r>
          </w:p>
          <w:p>
            <w:pPr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  <w:lang w:val="en-US"/>
              </w:rPr>
              <w:t>Код подразделения: {{ partner_representer_passport_department_code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hint="default" w:ascii="Calibri Light" w:hAnsi="Calibri Light" w:cs="Times New Roman"/>
                <w:szCs w:val="24"/>
                <w:lang w:val="en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hint="default" w:ascii="Calibri Light" w:hAnsi="Calibri Light" w:cs="Times New Roman"/>
                <w:szCs w:val="24"/>
                <w:lang w:val="en"/>
              </w:rPr>
              <w:t>/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6EB28D6"/>
    <w:rsid w:val="39A7F643"/>
    <w:rsid w:val="39BBEDA0"/>
    <w:rsid w:val="3FBF88D0"/>
    <w:rsid w:val="3FFF55AF"/>
    <w:rsid w:val="5BFBCC7F"/>
    <w:rsid w:val="6D9D4C76"/>
    <w:rsid w:val="FF3B17AF"/>
    <w:rsid w:val="FFEFCF14"/>
    <w:rsid w:val="FFF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2020-01-16T14:42:00Z</dcterms:created>
  <dc:creator>HP</dc:creator>
  <cp:lastModifiedBy>rydlab</cp:lastModifiedBy>
  <cp:lastPrinted>2019-12-01T16:20:00Z</cp:lastPrinted>
  <dcterms:modified xsi:type="dcterms:W3CDTF">2020-01-20T13:41:37Z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