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24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今天将江南宋城漏洞报告里的紧急和高危漏洞先整理出来，手要处理这部分漏洞。Linux服务器需要通过应用服务器远程，只允许一个人操控。因此我负责Windows服务器的紧急和高危漏洞处理。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今天尝试处理192.168.101.215服务器上的系统问题，根据漏洞修复建议中的步骤，然而却提示此更新不适用于该计算机，进入到系统更新中也无法更新。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758180" cy="305689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今天王经理让我们下载</w:t>
      </w:r>
      <w:r>
        <w:rPr>
          <w:rFonts w:hint="eastAsia"/>
          <w:lang w:val="zh-CN" w:eastAsia="zh-CN"/>
        </w:rPr>
        <w:t>智慧教室物联网中控平台的安装手册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zh-CN" w:eastAsia="zh-CN"/>
        </w:rPr>
        <w:t>平台安装包。</w:t>
      </w:r>
      <w:r>
        <w:rPr>
          <w:rFonts w:hint="eastAsia"/>
          <w:lang w:val="en-US" w:eastAsia="zh-CN"/>
        </w:rPr>
        <w:t>其中安装手册上个星期罗工带我去安装CentOS服务器时发给我过，稍微看过了一遍。平台安装包我们无法下载，与华三那边人员沟通后，他们提供链接给我们进行下载。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找到了服务器上各个软件需要更新到的最新版本，在网上看了好久的更新教程，大多没有找到合适的教程。而MySQL的我们不好进行安装，需要研发处理为好。目前只有tomcat有一个不涉及到移动数据的方法可以实施一下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6800" cy="2638425"/>
            <wp:effectExtent l="0" t="0" r="0" b="9525"/>
            <wp:docPr id="3" name="图片 3" descr="f6a8ae962fb09b987d61f6780006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6a8ae962fb09b987d61f67800065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widowControl w:val="0"/>
        <w:numPr>
          <w:ilvl w:val="0"/>
          <w:numId w:val="0"/>
        </w:numPr>
        <w:spacing w:line="560" w:lineRule="exact"/>
        <w:ind w:firstLine="420" w:firstLineChars="0"/>
        <w:jc w:val="left"/>
        <w:outlineLvl w:val="0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查找不同系统的更新流程，以便进行剩余江南宋城平台上漏洞的修复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。完成王经理给的核酸采样点系统IP更换。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10-24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_x0001_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4E9D657"/>
    <w:multiLevelType w:val="singleLevel"/>
    <w:tmpl w:val="C4E9D6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E081E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515</Words>
  <Characters>568</Characters>
  <Lines>7</Lines>
  <Paragraphs>2</Paragraphs>
  <TotalTime>11</TotalTime>
  <ScaleCrop>false</ScaleCrop>
  <LinksUpToDate>false</LinksUpToDate>
  <CharactersWithSpaces>936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2022-10-24T09:44:14Z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