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Subtype vs un-affected Directionality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Subtype vs un-affected</w:t>
            </w:r>
          </w:p>
        </w:tc>
        <w:tc>
          <w:tcPr>
            <w:tcW w:type="dxa" w:w="1440"/>
          </w:tcPr>
          <w:p>
            <w:r>
              <w:t>P &lt; 0.05</w:t>
            </w:r>
          </w:p>
        </w:tc>
        <w:tc>
          <w:tcPr>
            <w:tcW w:type="dxa" w:w="1440"/>
          </w:tcPr>
          <w:p>
            <w:r>
              <w:t>P &lt; 0.01</w:t>
            </w:r>
          </w:p>
        </w:tc>
        <w:tc>
          <w:tcPr>
            <w:tcW w:type="dxa" w:w="1440"/>
          </w:tcPr>
          <w:p>
            <w:r>
              <w:t>FDR &lt; 0.1</w:t>
            </w:r>
          </w:p>
        </w:tc>
        <w:tc>
          <w:tcPr>
            <w:tcW w:type="dxa" w:w="1440"/>
          </w:tcPr>
          <w:p>
            <w:r>
              <w:t>Higher-confidence pattern</w:t>
            </w:r>
          </w:p>
        </w:tc>
        <w:tc>
          <w:tcPr>
            <w:tcW w:type="dxa" w:w="1440"/>
          </w:tcPr>
          <w:p>
            <w:r>
              <w:t>Exploratory leads</w:t>
            </w:r>
          </w:p>
        </w:tc>
      </w:tr>
      <w:tr>
        <w:tc>
          <w:tcPr>
            <w:tcW w:type="dxa" w:w="1440"/>
          </w:tcPr>
          <w:p>
            <w:r>
              <w:t>Cognitive</w:t>
            </w:r>
          </w:p>
        </w:tc>
        <w:tc>
          <w:tcPr>
            <w:tcW w:type="dxa" w:w="1440"/>
          </w:tcPr>
          <w:p>
            <w:r>
              <w:t>67</w:t>
              <w:br/>
              <w:t>(↑ 35, ↓ 32)</w:t>
            </w:r>
          </w:p>
        </w:tc>
        <w:tc>
          <w:tcPr>
            <w:tcW w:type="dxa" w:w="1440"/>
          </w:tcPr>
          <w:p>
            <w:r>
              <w:t>21</w:t>
              <w:br/>
              <w:t>(↑ 11, ↓ 10)</w:t>
            </w:r>
          </w:p>
        </w:tc>
        <w:tc>
          <w:tcPr>
            <w:tcW w:type="dxa" w:w="1440"/>
          </w:tcPr>
          <w:p>
            <w:r>
              <w:t>6</w:t>
              <w:br/>
              <w:t>(↑ 4, ↓ 2)</w:t>
            </w:r>
          </w:p>
        </w:tc>
        <w:tc>
          <w:tcPr>
            <w:tcW w:type="dxa" w:w="1440"/>
          </w:tcPr>
          <w:p>
            <w:r>
              <w:t>Myristoyl lysoPCs and short-chain PCs higher; tetradecadienoate and progestin steroid sulfate lower.</w:t>
            </w:r>
          </w:p>
        </w:tc>
        <w:tc>
          <w:tcPr>
            <w:tcW w:type="dxa" w:w="1440"/>
          </w:tcPr>
          <w:p>
            <w:r>
              <w:t>Lactate and glycolytic ratio; acyl-carnitine and DHA features.</w:t>
            </w:r>
          </w:p>
        </w:tc>
      </w:tr>
      <w:tr>
        <w:tc>
          <w:tcPr>
            <w:tcW w:type="dxa" w:w="1440"/>
          </w:tcPr>
          <w:p>
            <w:r>
              <w:t>Depressive</w:t>
            </w:r>
          </w:p>
        </w:tc>
        <w:tc>
          <w:tcPr>
            <w:tcW w:type="dxa" w:w="1440"/>
          </w:tcPr>
          <w:p>
            <w:r>
              <w:t>46</w:t>
              <w:br/>
              <w:t>(↑ 29, ↓ 17)</w:t>
            </w:r>
          </w:p>
        </w:tc>
        <w:tc>
          <w:tcPr>
            <w:tcW w:type="dxa" w:w="1440"/>
          </w:tcPr>
          <w:p>
            <w:r>
              <w:t>20</w:t>
              <w:br/>
              <w:t>(↑ 11, ↓ 9)</w:t>
            </w:r>
          </w:p>
        </w:tc>
        <w:tc>
          <w:tcPr>
            <w:tcW w:type="dxa" w:w="1440"/>
          </w:tcPr>
          <w:p>
            <w:r>
              <w:t>9</w:t>
              <w:br/>
              <w:t>(↑ 2, ↓ 7)</w:t>
            </w:r>
          </w:p>
        </w:tc>
        <w:tc>
          <w:tcPr>
            <w:tcW w:type="dxa" w:w="1440"/>
          </w:tcPr>
          <w:p>
            <w:r>
              <w:t>DHA-containing PCs/PEs lower; steroid disulfate signals higher; glyco-beta-muricholate lower.</w:t>
            </w:r>
          </w:p>
        </w:tc>
        <w:tc>
          <w:tcPr>
            <w:tcW w:type="dxa" w:w="1440"/>
          </w:tcPr>
          <w:p>
            <w:r>
              <w:t>Sphingosine 1-phosphate; N-acetyltryptophan.</w:t>
            </w:r>
          </w:p>
        </w:tc>
      </w:tr>
      <w:tr>
        <w:tc>
          <w:tcPr>
            <w:tcW w:type="dxa" w:w="1440"/>
          </w:tcPr>
          <w:p>
            <w:r>
              <w:t>Mild PTSD</w:t>
            </w:r>
          </w:p>
        </w:tc>
        <w:tc>
          <w:tcPr>
            <w:tcW w:type="dxa" w:w="1440"/>
          </w:tcPr>
          <w:p>
            <w:r>
              <w:t>18</w:t>
              <w:br/>
              <w:t>(↑ 15, ↓ 3)</w:t>
            </w:r>
          </w:p>
        </w:tc>
        <w:tc>
          <w:tcPr>
            <w:tcW w:type="dxa" w:w="1440"/>
          </w:tcPr>
          <w:p>
            <w:r>
              <w:t>3</w:t>
              <w:br/>
              <w:t>(↑ 3, ↓ 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 FDR-level metabolite signature.</w:t>
            </w:r>
          </w:p>
        </w:tc>
        <w:tc>
          <w:tcPr>
            <w:tcW w:type="dxa" w:w="1440"/>
          </w:tcPr>
          <w:p>
            <w:r>
              <w:t>Lactate; 1,2-dipalmitoyl-GPC; deoxycholic acid glucuronide.</w:t>
            </w:r>
          </w:p>
        </w:tc>
      </w:tr>
      <w:tr>
        <w:tc>
          <w:tcPr>
            <w:tcW w:type="dxa" w:w="1440"/>
          </w:tcPr>
          <w:p>
            <w:r>
              <w:t>Severe PTSD</w:t>
            </w:r>
          </w:p>
        </w:tc>
        <w:tc>
          <w:tcPr>
            <w:tcW w:type="dxa" w:w="1440"/>
          </w:tcPr>
          <w:p>
            <w:r>
              <w:t>42</w:t>
              <w:br/>
              <w:t>(↑ 18, ↓ 24)</w:t>
            </w:r>
          </w:p>
        </w:tc>
        <w:tc>
          <w:tcPr>
            <w:tcW w:type="dxa" w:w="1440"/>
          </w:tcPr>
          <w:p>
            <w:r>
              <w:t>14</w:t>
              <w:br/>
              <w:t>(↑ 7, ↓ 7)</w:t>
            </w:r>
          </w:p>
        </w:tc>
        <w:tc>
          <w:tcPr>
            <w:tcW w:type="dxa" w:w="1440"/>
          </w:tcPr>
          <w:p>
            <w:r>
              <w:t>5</w:t>
              <w:br/>
              <w:t>(↑ 2, ↓ 3)</w:t>
            </w:r>
          </w:p>
        </w:tc>
        <w:tc>
          <w:tcPr>
            <w:tcW w:type="dxa" w:w="1440"/>
          </w:tcPr>
          <w:p>
            <w:r>
              <w:t>Glycolytic ratio higher; DHA-containing PCs lower; sphingosine 1-phosphate higher.</w:t>
            </w:r>
          </w:p>
        </w:tc>
        <w:tc>
          <w:tcPr>
            <w:tcW w:type="dxa" w:w="1440"/>
          </w:tcPr>
          <w:p>
            <w:r>
              <w:t>GABR lower; lactate higher; citrate lower; glutamate higher; serotonin lower.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