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Debby Anggraini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008 / 005 Kel/Desa JAGAKARSA Kecamatan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1990-12-21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19.27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127.9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1162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0.09401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0.1719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0.1657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26.47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77.91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77.91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Melignan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