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Citra Lestari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tes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Sun Dec 03 1995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21.09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142.7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1311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0.1141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0.2832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0.2487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26.57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95.27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95.27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