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200"/>
        <w:jc w:val="center"/>
      </w:pPr>
      <w:r>
        <w:rPr>
          <w:b/>
          <w:bCs/>
          <w:sz w:val="44"/>
          <w:szCs w:val="44"/>
        </w:rPr>
        <w:t xml:space="preserve">PROJETO DE ANÁLISE ESTATÍSTICA</w:t>
      </w:r>
    </w:p>
    <w:p>
      <w:pPr>
        <w:spacing w:after="800"/>
        <w:jc w:val="center"/>
      </w:pPr>
      <w:r>
        <w:rPr>
          <w:sz w:val="32"/>
          <w:szCs w:val="32"/>
        </w:rPr>
        <w:t xml:space="preserve">Base de Dados do Titanic</w:t>
      </w:r>
    </w:p>
    <w:p>
      <w:pPr>
        <w:spacing w:after="100"/>
        <w:jc w:val="center"/>
      </w:pPr>
      <w:r>
        <w:rPr>
          <w:sz w:val="26"/>
          <w:szCs w:val="26"/>
        </w:rPr>
        <w:t xml:space="preserve">Probabilidade e Estatística</w:t>
      </w:r>
    </w:p>
    <w:p>
      <w:pPr>
        <w:spacing w:after="1200"/>
        <w:jc w:val="center"/>
      </w:pPr>
      <w:r>
        <w:rPr>
          <w:sz w:val="26"/>
          <w:szCs w:val="26"/>
        </w:rPr>
        <w:t xml:space="preserve">Engenharia de Software e Sistemas de Informação</w:t>
      </w:r>
    </w:p>
    <w:p>
      <w:pPr>
        <w:spacing w:after="100"/>
        <w:jc w:val="center"/>
      </w:pPr>
      <w:r>
        <w:rPr>
          <w:i/>
          <w:iCs/>
          <w:sz w:val="24"/>
          <w:szCs w:val="24"/>
        </w:rPr>
        <w:t xml:space="preserve">Grupo: [preencher com os nomes dos integrantes]</w:t>
      </w:r>
    </w:p>
    <w:p>
      <w:pPr>
        <w:jc w:val="center"/>
      </w:pPr>
      <w:r>
        <w:rPr>
          <w:i/>
          <w:iCs/>
          <w:sz w:val="24"/>
          <w:szCs w:val="24"/>
        </w:rPr>
        <w:t xml:space="preserve">Data: [preencher]</w:t>
      </w:r>
    </w:p>
    <w:p>
      <w:r>
        <w:br w:type="page"/>
      </w:r>
    </w:p>
    <w:p>
      <w:pPr>
        <w:pStyle w:val="Heading1"/>
        <w:spacing w:after="200" w:before="400"/>
      </w:pPr>
      <w:r>
        <w:t xml:space="preserve">1. Introdução</w:t>
      </w:r>
    </w:p>
    <w:p>
      <w:pPr>
        <w:spacing w:after="200"/>
        <w:jc w:val="both"/>
      </w:pPr>
      <w:r>
        <w:t xml:space="preserve">Este relatório apresenta a análise estatística descritiva da base de dados do Titanic, que reúne informações sobre 891 passageiros do navio RMS Titanic, naufragado em 1912. As variáveis disponíveis incluem características demográficas (idade, sexo), socioeconômicas (classe da passagem, tarifa paga) e de viagem (local de embarque, número de familiares a bordo, situação de sobrevivência). O objetivo é aplicar conceitos de Estatística Descritiva — classificação de variáveis, tabelas de frequência, medidas de tendência central e de dispersão, e comparação entre grupos — para identificar padrões relevantes sobre essa população e sobre os fatores associados à sobrevivência.</w:t>
      </w:r>
    </w:p>
    <w:p>
      <w:pPr>
        <w:pStyle w:val="Heading1"/>
        <w:spacing w:after="200" w:before="400"/>
      </w:pPr>
      <w:r>
        <w:t xml:space="preserve">2. Descrição da base de dados</w:t>
      </w:r>
    </w:p>
    <w:p>
      <w:pPr>
        <w:spacing w:after="200"/>
        <w:jc w:val="both"/>
      </w:pPr>
      <w:r>
        <w:t xml:space="preserve">A base possui 891 observações (linhas) e 12 variáveis (colunas). Cada linha representa um passageiro do Titanic, e cada coluna representa uma característica desse passageiro (identificação, classe, nome, sexo, idade, familiares a bordo, tarifa paga, cabine e porto de embarque).</w:t>
      </w:r>
    </w:p>
    <w:p>
      <w:pPr>
        <w:pStyle w:val="Heading2"/>
        <w:spacing w:after="150" w:before="300"/>
      </w:pPr>
      <w:r>
        <w:t xml:space="preserve">2.1 Classificação das variáveis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5820"/>
      </w:tblGrid>
      <w:tr>
        <w:trPr>
          <w:tblHeader/>
        </w:trPr>
        <w:tc>
          <w:tcPr>
            <w:tcW w:type="dxa" w:w="3200"/>
            <w:shd w:fill="2E5266" w:val="clear"/>
            <w:vAlign w:val="center"/>
          </w:tcPr>
          <w:p>
            <w:pPr>
              <w:jc w:val="center"/>
            </w:pPr>
            <w:r>
              <w:rPr>
                <w:b/>
                <w:bCs/>
                <w:color w:val="FFFFFF"/>
                <w:sz w:val="20"/>
                <w:szCs w:val="20"/>
              </w:rPr>
              <w:t xml:space="preserve">Variável</w:t>
            </w:r>
          </w:p>
        </w:tc>
        <w:tc>
          <w:tcPr>
            <w:tcW w:type="dxa" w:w="5820"/>
            <w:shd w:fill="2E5266" w:val="clear"/>
            <w:vAlign w:val="center"/>
          </w:tcPr>
          <w:p>
            <w:pPr>
              <w:jc w:val="center"/>
            </w:pPr>
            <w:r>
              <w:rPr>
                <w:b/>
                <w:bCs/>
                <w:color w:val="FFFFFF"/>
                <w:sz w:val="20"/>
                <w:szCs w:val="20"/>
              </w:rPr>
              <w:t xml:space="preserve">Classificação</w:t>
            </w:r>
          </w:p>
        </w:tc>
      </w:tr>
      <w:tr>
        <w:tc>
          <w:tcPr>
            <w:tcW w:type="dxa" w:w="3200"/>
            <w:vAlign w:val="center"/>
          </w:tcPr>
          <w:p>
            <w:pPr>
              <w:jc w:val="center"/>
            </w:pPr>
            <w:r>
              <w:rPr>
                <w:b w:val="false"/>
                <w:bCs w:val="false"/>
                <w:color w:val="000000"/>
                <w:sz w:val="20"/>
                <w:szCs w:val="20"/>
              </w:rPr>
              <w:t xml:space="preserve">PassengerId</w:t>
            </w:r>
          </w:p>
        </w:tc>
        <w:tc>
          <w:tcPr>
            <w:tcW w:type="dxa" w:w="5820"/>
            <w:vAlign w:val="center"/>
          </w:tcPr>
          <w:p>
            <w:pPr>
              <w:jc w:val="center"/>
            </w:pPr>
            <w:r>
              <w:rPr>
                <w:b w:val="false"/>
                <w:bCs w:val="false"/>
                <w:color w:val="000000"/>
                <w:sz w:val="20"/>
                <w:szCs w:val="20"/>
              </w:rPr>
              <w:t xml:space="preserve">Qualitativa nominal (identificador único, sem valor estatístico analítico)</w:t>
            </w:r>
          </w:p>
        </w:tc>
      </w:tr>
      <w:tr>
        <w:tc>
          <w:tcPr>
            <w:tcW w:type="dxa" w:w="3200"/>
            <w:vAlign w:val="center"/>
          </w:tcPr>
          <w:p>
            <w:pPr>
              <w:jc w:val="center"/>
            </w:pPr>
            <w:r>
              <w:rPr>
                <w:b w:val="false"/>
                <w:bCs w:val="false"/>
                <w:color w:val="000000"/>
                <w:sz w:val="20"/>
                <w:szCs w:val="20"/>
              </w:rPr>
              <w:t xml:space="preserve">Survived</w:t>
            </w:r>
          </w:p>
        </w:tc>
        <w:tc>
          <w:tcPr>
            <w:tcW w:type="dxa" w:w="5820"/>
            <w:vAlign w:val="center"/>
          </w:tcPr>
          <w:p>
            <w:pPr>
              <w:jc w:val="center"/>
            </w:pPr>
            <w:r>
              <w:rPr>
                <w:b w:val="false"/>
                <w:bCs w:val="false"/>
                <w:color w:val="000000"/>
                <w:sz w:val="20"/>
                <w:szCs w:val="20"/>
              </w:rPr>
              <w:t xml:space="preserve">Qualitativa nominal (0 = não sobreviveu, 1 = sobreviveu)</w:t>
            </w:r>
          </w:p>
        </w:tc>
      </w:tr>
      <w:tr>
        <w:tc>
          <w:tcPr>
            <w:tcW w:type="dxa" w:w="3200"/>
            <w:vAlign w:val="center"/>
          </w:tcPr>
          <w:p>
            <w:pPr>
              <w:jc w:val="center"/>
            </w:pPr>
            <w:r>
              <w:rPr>
                <w:b w:val="false"/>
                <w:bCs w:val="false"/>
                <w:color w:val="000000"/>
                <w:sz w:val="20"/>
                <w:szCs w:val="20"/>
              </w:rPr>
              <w:t xml:space="preserve">Pclass</w:t>
            </w:r>
          </w:p>
        </w:tc>
        <w:tc>
          <w:tcPr>
            <w:tcW w:type="dxa" w:w="5820"/>
            <w:vAlign w:val="center"/>
          </w:tcPr>
          <w:p>
            <w:pPr>
              <w:jc w:val="center"/>
            </w:pPr>
            <w:r>
              <w:rPr>
                <w:b w:val="false"/>
                <w:bCs w:val="false"/>
                <w:color w:val="000000"/>
                <w:sz w:val="20"/>
                <w:szCs w:val="20"/>
              </w:rPr>
              <w:t xml:space="preserve">Qualitativa ordinal (1ª, 2ª ou 3ª classe)</w:t>
            </w:r>
          </w:p>
        </w:tc>
      </w:tr>
      <w:tr>
        <w:tc>
          <w:tcPr>
            <w:tcW w:type="dxa" w:w="3200"/>
            <w:vAlign w:val="center"/>
          </w:tcPr>
          <w:p>
            <w:pPr>
              <w:jc w:val="center"/>
            </w:pPr>
            <w:r>
              <w:rPr>
                <w:b w:val="false"/>
                <w:bCs w:val="false"/>
                <w:color w:val="000000"/>
                <w:sz w:val="20"/>
                <w:szCs w:val="20"/>
              </w:rPr>
              <w:t xml:space="preserve">Name</w:t>
            </w:r>
          </w:p>
        </w:tc>
        <w:tc>
          <w:tcPr>
            <w:tcW w:type="dxa" w:w="5820"/>
            <w:vAlign w:val="center"/>
          </w:tcPr>
          <w:p>
            <w:pPr>
              <w:jc w:val="center"/>
            </w:pPr>
            <w:r>
              <w:rPr>
                <w:b w:val="false"/>
                <w:bCs w:val="false"/>
                <w:color w:val="000000"/>
                <w:sz w:val="20"/>
                <w:szCs w:val="20"/>
              </w:rPr>
              <w:t xml:space="preserve">Qualitativa nominal</w:t>
            </w:r>
          </w:p>
        </w:tc>
      </w:tr>
      <w:tr>
        <w:tc>
          <w:tcPr>
            <w:tcW w:type="dxa" w:w="3200"/>
            <w:vAlign w:val="center"/>
          </w:tcPr>
          <w:p>
            <w:pPr>
              <w:jc w:val="center"/>
            </w:pPr>
            <w:r>
              <w:rPr>
                <w:b w:val="false"/>
                <w:bCs w:val="false"/>
                <w:color w:val="000000"/>
                <w:sz w:val="20"/>
                <w:szCs w:val="20"/>
              </w:rPr>
              <w:t xml:space="preserve">Sex</w:t>
            </w:r>
          </w:p>
        </w:tc>
        <w:tc>
          <w:tcPr>
            <w:tcW w:type="dxa" w:w="5820"/>
            <w:vAlign w:val="center"/>
          </w:tcPr>
          <w:p>
            <w:pPr>
              <w:jc w:val="center"/>
            </w:pPr>
            <w:r>
              <w:rPr>
                <w:b w:val="false"/>
                <w:bCs w:val="false"/>
                <w:color w:val="000000"/>
                <w:sz w:val="20"/>
                <w:szCs w:val="20"/>
              </w:rPr>
              <w:t xml:space="preserve">Qualitativa nominal</w:t>
            </w:r>
          </w:p>
        </w:tc>
      </w:tr>
      <w:tr>
        <w:tc>
          <w:tcPr>
            <w:tcW w:type="dxa" w:w="3200"/>
            <w:vAlign w:val="center"/>
          </w:tcPr>
          <w:p>
            <w:pPr>
              <w:jc w:val="center"/>
            </w:pPr>
            <w:r>
              <w:rPr>
                <w:b w:val="false"/>
                <w:bCs w:val="false"/>
                <w:color w:val="000000"/>
                <w:sz w:val="20"/>
                <w:szCs w:val="20"/>
              </w:rPr>
              <w:t xml:space="preserve">Age</w:t>
            </w:r>
          </w:p>
        </w:tc>
        <w:tc>
          <w:tcPr>
            <w:tcW w:type="dxa" w:w="5820"/>
            <w:vAlign w:val="center"/>
          </w:tcPr>
          <w:p>
            <w:pPr>
              <w:jc w:val="center"/>
            </w:pPr>
            <w:r>
              <w:rPr>
                <w:b w:val="false"/>
                <w:bCs w:val="false"/>
                <w:color w:val="000000"/>
                <w:sz w:val="20"/>
                <w:szCs w:val="20"/>
              </w:rPr>
              <w:t xml:space="preserve">Quantitativa contínua</w:t>
            </w:r>
          </w:p>
        </w:tc>
      </w:tr>
      <w:tr>
        <w:tc>
          <w:tcPr>
            <w:tcW w:type="dxa" w:w="3200"/>
            <w:vAlign w:val="center"/>
          </w:tcPr>
          <w:p>
            <w:pPr>
              <w:jc w:val="center"/>
            </w:pPr>
            <w:r>
              <w:rPr>
                <w:b w:val="false"/>
                <w:bCs w:val="false"/>
                <w:color w:val="000000"/>
                <w:sz w:val="20"/>
                <w:szCs w:val="20"/>
              </w:rPr>
              <w:t xml:space="preserve">SibSp</w:t>
            </w:r>
          </w:p>
        </w:tc>
        <w:tc>
          <w:tcPr>
            <w:tcW w:type="dxa" w:w="5820"/>
            <w:vAlign w:val="center"/>
          </w:tcPr>
          <w:p>
            <w:pPr>
              <w:jc w:val="center"/>
            </w:pPr>
            <w:r>
              <w:rPr>
                <w:b w:val="false"/>
                <w:bCs w:val="false"/>
                <w:color w:val="000000"/>
                <w:sz w:val="20"/>
                <w:szCs w:val="20"/>
              </w:rPr>
              <w:t xml:space="preserve">Quantitativa discreta</w:t>
            </w:r>
          </w:p>
        </w:tc>
      </w:tr>
      <w:tr>
        <w:tc>
          <w:tcPr>
            <w:tcW w:type="dxa" w:w="3200"/>
            <w:vAlign w:val="center"/>
          </w:tcPr>
          <w:p>
            <w:pPr>
              <w:jc w:val="center"/>
            </w:pPr>
            <w:r>
              <w:rPr>
                <w:b w:val="false"/>
                <w:bCs w:val="false"/>
                <w:color w:val="000000"/>
                <w:sz w:val="20"/>
                <w:szCs w:val="20"/>
              </w:rPr>
              <w:t xml:space="preserve">Parch</w:t>
            </w:r>
          </w:p>
        </w:tc>
        <w:tc>
          <w:tcPr>
            <w:tcW w:type="dxa" w:w="5820"/>
            <w:vAlign w:val="center"/>
          </w:tcPr>
          <w:p>
            <w:pPr>
              <w:jc w:val="center"/>
            </w:pPr>
            <w:r>
              <w:rPr>
                <w:b w:val="false"/>
                <w:bCs w:val="false"/>
                <w:color w:val="000000"/>
                <w:sz w:val="20"/>
                <w:szCs w:val="20"/>
              </w:rPr>
              <w:t xml:space="preserve">Quantitativa discreta</w:t>
            </w:r>
          </w:p>
        </w:tc>
      </w:tr>
      <w:tr>
        <w:tc>
          <w:tcPr>
            <w:tcW w:type="dxa" w:w="3200"/>
            <w:vAlign w:val="center"/>
          </w:tcPr>
          <w:p>
            <w:pPr>
              <w:jc w:val="center"/>
            </w:pPr>
            <w:r>
              <w:rPr>
                <w:b w:val="false"/>
                <w:bCs w:val="false"/>
                <w:color w:val="000000"/>
                <w:sz w:val="20"/>
                <w:szCs w:val="20"/>
              </w:rPr>
              <w:t xml:space="preserve">Ticket</w:t>
            </w:r>
          </w:p>
        </w:tc>
        <w:tc>
          <w:tcPr>
            <w:tcW w:type="dxa" w:w="5820"/>
            <w:vAlign w:val="center"/>
          </w:tcPr>
          <w:p>
            <w:pPr>
              <w:jc w:val="center"/>
            </w:pPr>
            <w:r>
              <w:rPr>
                <w:b w:val="false"/>
                <w:bCs w:val="false"/>
                <w:color w:val="000000"/>
                <w:sz w:val="20"/>
                <w:szCs w:val="20"/>
              </w:rPr>
              <w:t xml:space="preserve">Qualitativa nominal (identificador do bilhete)</w:t>
            </w:r>
          </w:p>
        </w:tc>
      </w:tr>
      <w:tr>
        <w:tc>
          <w:tcPr>
            <w:tcW w:type="dxa" w:w="3200"/>
            <w:vAlign w:val="center"/>
          </w:tcPr>
          <w:p>
            <w:pPr>
              <w:jc w:val="center"/>
            </w:pPr>
            <w:r>
              <w:rPr>
                <w:b w:val="false"/>
                <w:bCs w:val="false"/>
                <w:color w:val="000000"/>
                <w:sz w:val="20"/>
                <w:szCs w:val="20"/>
              </w:rPr>
              <w:t xml:space="preserve">Fare</w:t>
            </w:r>
          </w:p>
        </w:tc>
        <w:tc>
          <w:tcPr>
            <w:tcW w:type="dxa" w:w="5820"/>
            <w:vAlign w:val="center"/>
          </w:tcPr>
          <w:p>
            <w:pPr>
              <w:jc w:val="center"/>
            </w:pPr>
            <w:r>
              <w:rPr>
                <w:b w:val="false"/>
                <w:bCs w:val="false"/>
                <w:color w:val="000000"/>
                <w:sz w:val="20"/>
                <w:szCs w:val="20"/>
              </w:rPr>
              <w:t xml:space="preserve">Quantitativa contínua</w:t>
            </w:r>
          </w:p>
        </w:tc>
      </w:tr>
      <w:tr>
        <w:tc>
          <w:tcPr>
            <w:tcW w:type="dxa" w:w="3200"/>
            <w:vAlign w:val="center"/>
          </w:tcPr>
          <w:p>
            <w:pPr>
              <w:jc w:val="center"/>
            </w:pPr>
            <w:r>
              <w:rPr>
                <w:b w:val="false"/>
                <w:bCs w:val="false"/>
                <w:color w:val="000000"/>
                <w:sz w:val="20"/>
                <w:szCs w:val="20"/>
              </w:rPr>
              <w:t xml:space="preserve">Cabin</w:t>
            </w:r>
          </w:p>
        </w:tc>
        <w:tc>
          <w:tcPr>
            <w:tcW w:type="dxa" w:w="5820"/>
            <w:vAlign w:val="center"/>
          </w:tcPr>
          <w:p>
            <w:pPr>
              <w:jc w:val="center"/>
            </w:pPr>
            <w:r>
              <w:rPr>
                <w:b w:val="false"/>
                <w:bCs w:val="false"/>
                <w:color w:val="000000"/>
                <w:sz w:val="20"/>
                <w:szCs w:val="20"/>
              </w:rPr>
              <w:t xml:space="preserve">Qualitativa nominal (muitos valores ausentes)</w:t>
            </w:r>
          </w:p>
        </w:tc>
      </w:tr>
      <w:tr>
        <w:tc>
          <w:tcPr>
            <w:tcW w:type="dxa" w:w="3200"/>
            <w:vAlign w:val="center"/>
          </w:tcPr>
          <w:p>
            <w:pPr>
              <w:jc w:val="center"/>
            </w:pPr>
            <w:r>
              <w:rPr>
                <w:b w:val="false"/>
                <w:bCs w:val="false"/>
                <w:color w:val="000000"/>
                <w:sz w:val="20"/>
                <w:szCs w:val="20"/>
              </w:rPr>
              <w:t xml:space="preserve">Embarked</w:t>
            </w:r>
          </w:p>
        </w:tc>
        <w:tc>
          <w:tcPr>
            <w:tcW w:type="dxa" w:w="5820"/>
            <w:vAlign w:val="center"/>
          </w:tcPr>
          <w:p>
            <w:pPr>
              <w:jc w:val="center"/>
            </w:pPr>
            <w:r>
              <w:rPr>
                <w:b w:val="false"/>
                <w:bCs w:val="false"/>
                <w:color w:val="000000"/>
                <w:sz w:val="20"/>
                <w:szCs w:val="20"/>
              </w:rPr>
              <w:t xml:space="preserve">Qualitativa nominal</w:t>
            </w:r>
          </w:p>
        </w:tc>
      </w:tr>
    </w:tbl>
    <w:p>
      <w:pPr>
        <w:pStyle w:val="Heading2"/>
        <w:spacing w:after="150" w:before="300"/>
      </w:pPr>
      <w:r>
        <w:t xml:space="preserve">2.2 Dados ausentes e tratamento aplicado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200"/>
        <w:gridCol w:w="2910"/>
        <w:gridCol w:w="2910"/>
      </w:tblGrid>
      <w:tr>
        <w:trPr>
          <w:tblHeader/>
        </w:trPr>
        <w:tc>
          <w:tcPr>
            <w:tcW w:type="dxa" w:w="3200"/>
            <w:shd w:fill="2E5266" w:val="clear"/>
            <w:vAlign w:val="center"/>
          </w:tcPr>
          <w:p>
            <w:pPr>
              <w:jc w:val="center"/>
            </w:pPr>
            <w:r>
              <w:rPr>
                <w:b/>
                <w:bCs/>
                <w:color w:val="FFFFFF"/>
                <w:sz w:val="20"/>
                <w:szCs w:val="20"/>
              </w:rPr>
              <w:t xml:space="preserve">Variável</w:t>
            </w:r>
          </w:p>
        </w:tc>
        <w:tc>
          <w:tcPr>
            <w:tcW w:type="dxa" w:w="2910"/>
            <w:shd w:fill="2E5266" w:val="clear"/>
            <w:vAlign w:val="center"/>
          </w:tcPr>
          <w:p>
            <w:pPr>
              <w:jc w:val="center"/>
            </w:pPr>
            <w:r>
              <w:rPr>
                <w:b/>
                <w:bCs/>
                <w:color w:val="FFFFFF"/>
                <w:sz w:val="20"/>
                <w:szCs w:val="20"/>
              </w:rPr>
              <w:t xml:space="preserve">Valores ausentes</w:t>
            </w:r>
          </w:p>
        </w:tc>
        <w:tc>
          <w:tcPr>
            <w:tcW w:type="dxa" w:w="2910"/>
            <w:shd w:fill="2E5266" w:val="clear"/>
            <w:vAlign w:val="center"/>
          </w:tcPr>
          <w:p>
            <w:pPr>
              <w:jc w:val="center"/>
            </w:pPr>
            <w:r>
              <w:rPr>
                <w:b/>
                <w:bCs/>
                <w:color w:val="FFFFFF"/>
                <w:sz w:val="20"/>
                <w:szCs w:val="20"/>
              </w:rPr>
              <w:t xml:space="preserve">% da base</w:t>
            </w:r>
          </w:p>
        </w:tc>
      </w:tr>
      <w:tr>
        <w:tc>
          <w:tcPr>
            <w:tcW w:type="dxa" w:w="3200"/>
            <w:vAlign w:val="center"/>
          </w:tcPr>
          <w:p>
            <w:pPr>
              <w:jc w:val="center"/>
            </w:pPr>
            <w:r>
              <w:rPr>
                <w:b w:val="false"/>
                <w:bCs w:val="false"/>
                <w:color w:val="000000"/>
                <w:sz w:val="20"/>
                <w:szCs w:val="20"/>
              </w:rPr>
              <w:t xml:space="preserve">Age</w:t>
            </w:r>
          </w:p>
        </w:tc>
        <w:tc>
          <w:tcPr>
            <w:tcW w:type="dxa" w:w="2910"/>
            <w:vAlign w:val="center"/>
          </w:tcPr>
          <w:p>
            <w:pPr>
              <w:jc w:val="center"/>
            </w:pPr>
            <w:r>
              <w:rPr>
                <w:b w:val="false"/>
                <w:bCs w:val="false"/>
                <w:color w:val="000000"/>
                <w:sz w:val="20"/>
                <w:szCs w:val="20"/>
              </w:rPr>
              <w:t xml:space="preserve">177</w:t>
            </w:r>
          </w:p>
        </w:tc>
        <w:tc>
          <w:tcPr>
            <w:tcW w:type="dxa" w:w="2910"/>
            <w:vAlign w:val="center"/>
          </w:tcPr>
          <w:p>
            <w:pPr>
              <w:jc w:val="center"/>
            </w:pPr>
            <w:r>
              <w:rPr>
                <w:b w:val="false"/>
                <w:bCs w:val="false"/>
                <w:color w:val="000000"/>
                <w:sz w:val="20"/>
                <w:szCs w:val="20"/>
              </w:rPr>
              <w:t xml:space="preserve">19,87%</w:t>
            </w:r>
          </w:p>
        </w:tc>
      </w:tr>
      <w:tr>
        <w:tc>
          <w:tcPr>
            <w:tcW w:type="dxa" w:w="3200"/>
            <w:vAlign w:val="center"/>
          </w:tcPr>
          <w:p>
            <w:pPr>
              <w:jc w:val="center"/>
            </w:pPr>
            <w:r>
              <w:rPr>
                <w:b w:val="false"/>
                <w:bCs w:val="false"/>
                <w:color w:val="000000"/>
                <w:sz w:val="20"/>
                <w:szCs w:val="20"/>
              </w:rPr>
              <w:t xml:space="preserve">Cabin</w:t>
            </w:r>
          </w:p>
        </w:tc>
        <w:tc>
          <w:tcPr>
            <w:tcW w:type="dxa" w:w="2910"/>
            <w:vAlign w:val="center"/>
          </w:tcPr>
          <w:p>
            <w:pPr>
              <w:jc w:val="center"/>
            </w:pPr>
            <w:r>
              <w:rPr>
                <w:b w:val="false"/>
                <w:bCs w:val="false"/>
                <w:color w:val="000000"/>
                <w:sz w:val="20"/>
                <w:szCs w:val="20"/>
              </w:rPr>
              <w:t xml:space="preserve">687</w:t>
            </w:r>
          </w:p>
        </w:tc>
        <w:tc>
          <w:tcPr>
            <w:tcW w:type="dxa" w:w="2910"/>
            <w:vAlign w:val="center"/>
          </w:tcPr>
          <w:p>
            <w:pPr>
              <w:jc w:val="center"/>
            </w:pPr>
            <w:r>
              <w:rPr>
                <w:b w:val="false"/>
                <w:bCs w:val="false"/>
                <w:color w:val="000000"/>
                <w:sz w:val="20"/>
                <w:szCs w:val="20"/>
              </w:rPr>
              <w:t xml:space="preserve">77,10%</w:t>
            </w:r>
          </w:p>
        </w:tc>
      </w:tr>
      <w:tr>
        <w:tc>
          <w:tcPr>
            <w:tcW w:type="dxa" w:w="3200"/>
            <w:vAlign w:val="center"/>
          </w:tcPr>
          <w:p>
            <w:pPr>
              <w:jc w:val="center"/>
            </w:pPr>
            <w:r>
              <w:rPr>
                <w:b w:val="false"/>
                <w:bCs w:val="false"/>
                <w:color w:val="000000"/>
                <w:sz w:val="20"/>
                <w:szCs w:val="20"/>
              </w:rPr>
              <w:t xml:space="preserve">Embarked</w:t>
            </w:r>
          </w:p>
        </w:tc>
        <w:tc>
          <w:tcPr>
            <w:tcW w:type="dxa" w:w="2910"/>
            <w:vAlign w:val="center"/>
          </w:tcPr>
          <w:p>
            <w:pPr>
              <w:jc w:val="center"/>
            </w:pPr>
            <w:r>
              <w:rPr>
                <w:b w:val="false"/>
                <w:bCs w:val="false"/>
                <w:color w:val="000000"/>
                <w:sz w:val="20"/>
                <w:szCs w:val="20"/>
              </w:rPr>
              <w:t xml:space="preserve">2</w:t>
            </w:r>
          </w:p>
        </w:tc>
        <w:tc>
          <w:tcPr>
            <w:tcW w:type="dxa" w:w="2910"/>
            <w:vAlign w:val="center"/>
          </w:tcPr>
          <w:p>
            <w:pPr>
              <w:jc w:val="center"/>
            </w:pPr>
            <w:r>
              <w:rPr>
                <w:b w:val="false"/>
                <w:bCs w:val="false"/>
                <w:color w:val="000000"/>
                <w:sz w:val="20"/>
                <w:szCs w:val="20"/>
              </w:rPr>
              <w:t xml:space="preserve">0,22%</w:t>
            </w:r>
          </w:p>
        </w:tc>
      </w:tr>
    </w:tbl>
    <w:p>
      <w:pPr>
        <w:spacing w:after="200"/>
        <w:jc w:val="both"/>
      </w:pPr>
      <w:r>
        <w:t xml:space="preserve">Três variáveis apresentam valores ausentes. Para a idade, optou-se por preencher os valores faltantes com a mediana (28 anos), por ser uma medida mais robusta a valores extremos do que a média — evitando que idades muito altas distorçam o preenchimento. É importante registrar que essa imputação concentra artificialmente mais observações em torno dos 28 anos, o que aparece como um pico atípico no histograma da variável (Figura da Etapa 3) e deve ser considerado na leitura dos resultados. Para o porto de embarque, com apenas 2 valores ausentes, optou-se pela moda (Southampton), já que o impacto de duas observações é desprezível. Já a variável Cabine tem 77% dos valores ausentes — descartar a coluna eliminaria informação potencialmente relevante, então ela foi transformada em uma variável binária indicando se a cabine foi ou não registrada, o que preserva o sinal estatístico de que passageiros de classes mais altas tendem a ter esse dado preenchido com mais frequência.</w:t>
      </w:r>
    </w:p>
    <w:p>
      <w:r>
        <w:br w:type="page"/>
      </w:r>
    </w:p>
    <w:p>
      <w:pPr>
        <w:pStyle w:val="Heading1"/>
        <w:spacing w:after="200" w:before="400"/>
      </w:pPr>
      <w:r>
        <w:t xml:space="preserve">3. Análise das variáveis qualitativas</w:t>
      </w:r>
    </w:p>
    <w:p>
      <w:pPr>
        <w:pStyle w:val="Heading2"/>
        <w:spacing w:after="150" w:before="300"/>
      </w:pPr>
      <w:r>
        <w:t xml:space="preserve">3.1 Sexo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rPr>
          <w:tblHeader/>
        </w:trPr>
        <w:tc>
          <w:tcPr>
            <w:tcW w:type="dxa" w:w="2255"/>
            <w:shd w:fill="2E5266" w:val="clear"/>
            <w:vAlign w:val="center"/>
          </w:tcPr>
          <w:p>
            <w:pPr>
              <w:jc w:val="center"/>
            </w:pPr>
            <w:r>
              <w:rPr>
                <w:b/>
                <w:bCs/>
                <w:color w:val="FFFFFF"/>
                <w:sz w:val="20"/>
                <w:szCs w:val="20"/>
              </w:rPr>
              <w:t xml:space="preserve">Sexo</w:t>
            </w:r>
          </w:p>
        </w:tc>
        <w:tc>
          <w:tcPr>
            <w:tcW w:type="dxa" w:w="2255"/>
            <w:shd w:fill="2E5266" w:val="clear"/>
            <w:vAlign w:val="center"/>
          </w:tcPr>
          <w:p>
            <w:pPr>
              <w:jc w:val="center"/>
            </w:pPr>
            <w:r>
              <w:rPr>
                <w:b/>
                <w:bCs/>
                <w:color w:val="FFFFFF"/>
                <w:sz w:val="20"/>
                <w:szCs w:val="20"/>
              </w:rPr>
              <w:t xml:space="preserve">Freq. absoluta</w:t>
            </w:r>
          </w:p>
        </w:tc>
        <w:tc>
          <w:tcPr>
            <w:tcW w:type="dxa" w:w="2255"/>
            <w:shd w:fill="2E5266" w:val="clear"/>
            <w:vAlign w:val="center"/>
          </w:tcPr>
          <w:p>
            <w:pPr>
              <w:jc w:val="center"/>
            </w:pPr>
            <w:r>
              <w:rPr>
                <w:b/>
                <w:bCs/>
                <w:color w:val="FFFFFF"/>
                <w:sz w:val="20"/>
                <w:szCs w:val="20"/>
              </w:rPr>
              <w:t xml:space="preserve">Freq. relativa</w:t>
            </w:r>
          </w:p>
        </w:tc>
        <w:tc>
          <w:tcPr>
            <w:tcW w:type="dxa" w:w="2255"/>
            <w:shd w:fill="2E5266" w:val="clear"/>
            <w:vAlign w:val="center"/>
          </w:tcPr>
          <w:p>
            <w:pPr>
              <w:jc w:val="center"/>
            </w:pPr>
            <w:r>
              <w:rPr>
                <w:b/>
                <w:bCs/>
                <w:color w:val="FFFFFF"/>
                <w:sz w:val="20"/>
                <w:szCs w:val="20"/>
              </w:rPr>
              <w:t xml:space="preserve">%</w:t>
            </w:r>
          </w:p>
        </w:tc>
      </w:tr>
      <w:tr>
        <w:tc>
          <w:tcPr>
            <w:tcW w:type="dxa" w:w="2255"/>
            <w:vAlign w:val="center"/>
          </w:tcPr>
          <w:p>
            <w:pPr>
              <w:jc w:val="center"/>
            </w:pPr>
            <w:r>
              <w:rPr>
                <w:b w:val="false"/>
                <w:bCs w:val="false"/>
                <w:color w:val="000000"/>
                <w:sz w:val="20"/>
                <w:szCs w:val="20"/>
              </w:rPr>
              <w:t xml:space="preserve">Masculino</w:t>
            </w:r>
          </w:p>
        </w:tc>
        <w:tc>
          <w:tcPr>
            <w:tcW w:type="dxa" w:w="2255"/>
            <w:vAlign w:val="center"/>
          </w:tcPr>
          <w:p>
            <w:pPr>
              <w:jc w:val="center"/>
            </w:pPr>
            <w:r>
              <w:rPr>
                <w:b w:val="false"/>
                <w:bCs w:val="false"/>
                <w:color w:val="000000"/>
                <w:sz w:val="20"/>
                <w:szCs w:val="20"/>
              </w:rPr>
              <w:t xml:space="preserve">577</w:t>
            </w:r>
          </w:p>
        </w:tc>
        <w:tc>
          <w:tcPr>
            <w:tcW w:type="dxa" w:w="2255"/>
            <w:vAlign w:val="center"/>
          </w:tcPr>
          <w:p>
            <w:pPr>
              <w:jc w:val="center"/>
            </w:pPr>
            <w:r>
              <w:rPr>
                <w:b w:val="false"/>
                <w:bCs w:val="false"/>
                <w:color w:val="000000"/>
                <w:sz w:val="20"/>
                <w:szCs w:val="20"/>
              </w:rPr>
              <w:t xml:space="preserve">0,6476</w:t>
            </w:r>
          </w:p>
        </w:tc>
        <w:tc>
          <w:tcPr>
            <w:tcW w:type="dxa" w:w="2255"/>
            <w:vAlign w:val="center"/>
          </w:tcPr>
          <w:p>
            <w:pPr>
              <w:jc w:val="center"/>
            </w:pPr>
            <w:r>
              <w:rPr>
                <w:b w:val="false"/>
                <w:bCs w:val="false"/>
                <w:color w:val="000000"/>
                <w:sz w:val="20"/>
                <w:szCs w:val="20"/>
              </w:rPr>
              <w:t xml:space="preserve">64,76%</w:t>
            </w:r>
          </w:p>
        </w:tc>
      </w:tr>
      <w:tr>
        <w:tc>
          <w:tcPr>
            <w:tcW w:type="dxa" w:w="2255"/>
            <w:vAlign w:val="center"/>
          </w:tcPr>
          <w:p>
            <w:pPr>
              <w:jc w:val="center"/>
            </w:pPr>
            <w:r>
              <w:rPr>
                <w:b w:val="false"/>
                <w:bCs w:val="false"/>
                <w:color w:val="000000"/>
                <w:sz w:val="20"/>
                <w:szCs w:val="20"/>
              </w:rPr>
              <w:t xml:space="preserve">Feminino</w:t>
            </w:r>
          </w:p>
        </w:tc>
        <w:tc>
          <w:tcPr>
            <w:tcW w:type="dxa" w:w="2255"/>
            <w:vAlign w:val="center"/>
          </w:tcPr>
          <w:p>
            <w:pPr>
              <w:jc w:val="center"/>
            </w:pPr>
            <w:r>
              <w:rPr>
                <w:b w:val="false"/>
                <w:bCs w:val="false"/>
                <w:color w:val="000000"/>
                <w:sz w:val="20"/>
                <w:szCs w:val="20"/>
              </w:rPr>
              <w:t xml:space="preserve">314</w:t>
            </w:r>
          </w:p>
        </w:tc>
        <w:tc>
          <w:tcPr>
            <w:tcW w:type="dxa" w:w="2255"/>
            <w:vAlign w:val="center"/>
          </w:tcPr>
          <w:p>
            <w:pPr>
              <w:jc w:val="center"/>
            </w:pPr>
            <w:r>
              <w:rPr>
                <w:b w:val="false"/>
                <w:bCs w:val="false"/>
                <w:color w:val="000000"/>
                <w:sz w:val="20"/>
                <w:szCs w:val="20"/>
              </w:rPr>
              <w:t xml:space="preserve">0,3524</w:t>
            </w:r>
          </w:p>
        </w:tc>
        <w:tc>
          <w:tcPr>
            <w:tcW w:type="dxa" w:w="2255"/>
            <w:vAlign w:val="center"/>
          </w:tcPr>
          <w:p>
            <w:pPr>
              <w:jc w:val="center"/>
            </w:pPr>
            <w:r>
              <w:rPr>
                <w:b w:val="false"/>
                <w:bCs w:val="false"/>
                <w:color w:val="000000"/>
                <w:sz w:val="20"/>
                <w:szCs w:val="20"/>
              </w:rPr>
              <w:t xml:space="preserve">35,24%</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1 — Distribuição por sexo</w:t>
      </w:r>
    </w:p>
    <w:p>
      <w:pPr>
        <w:spacing w:after="200"/>
        <w:jc w:val="both"/>
      </w:pPr>
      <w:r>
        <w:t xml:space="preserve">Quase dois terços dos passageiros da base (64,76%) eram homens, contra 35,24% de mulheres. Essa desproporção é coerente com o perfil de viagens transatlânticas da época, quando homens viajavam com mais frequência a trabalho ou como parte da tripulação registrada entre os passageiros.</w:t>
      </w:r>
    </w:p>
    <w:p>
      <w:pPr>
        <w:pStyle w:val="Heading2"/>
        <w:spacing w:after="150" w:before="300"/>
      </w:pPr>
      <w:r>
        <w:t xml:space="preserve">3.2 Classe (Pclass)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rPr>
          <w:tblHeader/>
        </w:trPr>
        <w:tc>
          <w:tcPr>
            <w:tcW w:type="dxa" w:w="2255"/>
            <w:shd w:fill="2E5266" w:val="clear"/>
            <w:vAlign w:val="center"/>
          </w:tcPr>
          <w:p>
            <w:pPr>
              <w:jc w:val="center"/>
            </w:pPr>
            <w:r>
              <w:rPr>
                <w:b/>
                <w:bCs/>
                <w:color w:val="FFFFFF"/>
                <w:sz w:val="20"/>
                <w:szCs w:val="20"/>
              </w:rPr>
              <w:t xml:space="preserve">Classe</w:t>
            </w:r>
          </w:p>
        </w:tc>
        <w:tc>
          <w:tcPr>
            <w:tcW w:type="dxa" w:w="2255"/>
            <w:shd w:fill="2E5266" w:val="clear"/>
            <w:vAlign w:val="center"/>
          </w:tcPr>
          <w:p>
            <w:pPr>
              <w:jc w:val="center"/>
            </w:pPr>
            <w:r>
              <w:rPr>
                <w:b/>
                <w:bCs/>
                <w:color w:val="FFFFFF"/>
                <w:sz w:val="20"/>
                <w:szCs w:val="20"/>
              </w:rPr>
              <w:t xml:space="preserve">Freq. absoluta</w:t>
            </w:r>
          </w:p>
        </w:tc>
        <w:tc>
          <w:tcPr>
            <w:tcW w:type="dxa" w:w="2255"/>
            <w:shd w:fill="2E5266" w:val="clear"/>
            <w:vAlign w:val="center"/>
          </w:tcPr>
          <w:p>
            <w:pPr>
              <w:jc w:val="center"/>
            </w:pPr>
            <w:r>
              <w:rPr>
                <w:b/>
                <w:bCs/>
                <w:color w:val="FFFFFF"/>
                <w:sz w:val="20"/>
                <w:szCs w:val="20"/>
              </w:rPr>
              <w:t xml:space="preserve">Freq. relativa</w:t>
            </w:r>
          </w:p>
        </w:tc>
        <w:tc>
          <w:tcPr>
            <w:tcW w:type="dxa" w:w="2255"/>
            <w:shd w:fill="2E5266" w:val="clear"/>
            <w:vAlign w:val="center"/>
          </w:tcPr>
          <w:p>
            <w:pPr>
              <w:jc w:val="center"/>
            </w:pPr>
            <w:r>
              <w:rPr>
                <w:b/>
                <w:bCs/>
                <w:color w:val="FFFFFF"/>
                <w:sz w:val="20"/>
                <w:szCs w:val="20"/>
              </w:rPr>
              <w:t xml:space="preserve">%</w:t>
            </w:r>
          </w:p>
        </w:tc>
      </w:tr>
      <w:tr>
        <w:tc>
          <w:tcPr>
            <w:tcW w:type="dxa" w:w="2255"/>
            <w:vAlign w:val="center"/>
          </w:tcPr>
          <w:p>
            <w:pPr>
              <w:jc w:val="center"/>
            </w:pPr>
            <w:r>
              <w:rPr>
                <w:b w:val="false"/>
                <w:bCs w:val="false"/>
                <w:color w:val="000000"/>
                <w:sz w:val="20"/>
                <w:szCs w:val="20"/>
              </w:rPr>
              <w:t xml:space="preserve">3ª classe</w:t>
            </w:r>
          </w:p>
        </w:tc>
        <w:tc>
          <w:tcPr>
            <w:tcW w:type="dxa" w:w="2255"/>
            <w:vAlign w:val="center"/>
          </w:tcPr>
          <w:p>
            <w:pPr>
              <w:jc w:val="center"/>
            </w:pPr>
            <w:r>
              <w:rPr>
                <w:b w:val="false"/>
                <w:bCs w:val="false"/>
                <w:color w:val="000000"/>
                <w:sz w:val="20"/>
                <w:szCs w:val="20"/>
              </w:rPr>
              <w:t xml:space="preserve">491</w:t>
            </w:r>
          </w:p>
        </w:tc>
        <w:tc>
          <w:tcPr>
            <w:tcW w:type="dxa" w:w="2255"/>
            <w:vAlign w:val="center"/>
          </w:tcPr>
          <w:p>
            <w:pPr>
              <w:jc w:val="center"/>
            </w:pPr>
            <w:r>
              <w:rPr>
                <w:b w:val="false"/>
                <w:bCs w:val="false"/>
                <w:color w:val="000000"/>
                <w:sz w:val="20"/>
                <w:szCs w:val="20"/>
              </w:rPr>
              <w:t xml:space="preserve">0,5511</w:t>
            </w:r>
          </w:p>
        </w:tc>
        <w:tc>
          <w:tcPr>
            <w:tcW w:type="dxa" w:w="2255"/>
            <w:vAlign w:val="center"/>
          </w:tcPr>
          <w:p>
            <w:pPr>
              <w:jc w:val="center"/>
            </w:pPr>
            <w:r>
              <w:rPr>
                <w:b w:val="false"/>
                <w:bCs w:val="false"/>
                <w:color w:val="000000"/>
                <w:sz w:val="20"/>
                <w:szCs w:val="20"/>
              </w:rPr>
              <w:t xml:space="preserve">55,11%</w:t>
            </w:r>
          </w:p>
        </w:tc>
      </w:tr>
      <w:tr>
        <w:tc>
          <w:tcPr>
            <w:tcW w:type="dxa" w:w="2255"/>
            <w:vAlign w:val="center"/>
          </w:tcPr>
          <w:p>
            <w:pPr>
              <w:jc w:val="center"/>
            </w:pPr>
            <w:r>
              <w:rPr>
                <w:b w:val="false"/>
                <w:bCs w:val="false"/>
                <w:color w:val="000000"/>
                <w:sz w:val="20"/>
                <w:szCs w:val="20"/>
              </w:rPr>
              <w:t xml:space="preserve">1ª classe</w:t>
            </w:r>
          </w:p>
        </w:tc>
        <w:tc>
          <w:tcPr>
            <w:tcW w:type="dxa" w:w="2255"/>
            <w:vAlign w:val="center"/>
          </w:tcPr>
          <w:p>
            <w:pPr>
              <w:jc w:val="center"/>
            </w:pPr>
            <w:r>
              <w:rPr>
                <w:b w:val="false"/>
                <w:bCs w:val="false"/>
                <w:color w:val="000000"/>
                <w:sz w:val="20"/>
                <w:szCs w:val="20"/>
              </w:rPr>
              <w:t xml:space="preserve">216</w:t>
            </w:r>
          </w:p>
        </w:tc>
        <w:tc>
          <w:tcPr>
            <w:tcW w:type="dxa" w:w="2255"/>
            <w:vAlign w:val="center"/>
          </w:tcPr>
          <w:p>
            <w:pPr>
              <w:jc w:val="center"/>
            </w:pPr>
            <w:r>
              <w:rPr>
                <w:b w:val="false"/>
                <w:bCs w:val="false"/>
                <w:color w:val="000000"/>
                <w:sz w:val="20"/>
                <w:szCs w:val="20"/>
              </w:rPr>
              <w:t xml:space="preserve">0,2424</w:t>
            </w:r>
          </w:p>
        </w:tc>
        <w:tc>
          <w:tcPr>
            <w:tcW w:type="dxa" w:w="2255"/>
            <w:vAlign w:val="center"/>
          </w:tcPr>
          <w:p>
            <w:pPr>
              <w:jc w:val="center"/>
            </w:pPr>
            <w:r>
              <w:rPr>
                <w:b w:val="false"/>
                <w:bCs w:val="false"/>
                <w:color w:val="000000"/>
                <w:sz w:val="20"/>
                <w:szCs w:val="20"/>
              </w:rPr>
              <w:t xml:space="preserve">24,24%</w:t>
            </w:r>
          </w:p>
        </w:tc>
      </w:tr>
      <w:tr>
        <w:tc>
          <w:tcPr>
            <w:tcW w:type="dxa" w:w="2255"/>
            <w:vAlign w:val="center"/>
          </w:tcPr>
          <w:p>
            <w:pPr>
              <w:jc w:val="center"/>
            </w:pPr>
            <w:r>
              <w:rPr>
                <w:b w:val="false"/>
                <w:bCs w:val="false"/>
                <w:color w:val="000000"/>
                <w:sz w:val="20"/>
                <w:szCs w:val="20"/>
              </w:rPr>
              <w:t xml:space="preserve">2ª classe</w:t>
            </w:r>
          </w:p>
        </w:tc>
        <w:tc>
          <w:tcPr>
            <w:tcW w:type="dxa" w:w="2255"/>
            <w:vAlign w:val="center"/>
          </w:tcPr>
          <w:p>
            <w:pPr>
              <w:jc w:val="center"/>
            </w:pPr>
            <w:r>
              <w:rPr>
                <w:b w:val="false"/>
                <w:bCs w:val="false"/>
                <w:color w:val="000000"/>
                <w:sz w:val="20"/>
                <w:szCs w:val="20"/>
              </w:rPr>
              <w:t xml:space="preserve">184</w:t>
            </w:r>
          </w:p>
        </w:tc>
        <w:tc>
          <w:tcPr>
            <w:tcW w:type="dxa" w:w="2255"/>
            <w:vAlign w:val="center"/>
          </w:tcPr>
          <w:p>
            <w:pPr>
              <w:jc w:val="center"/>
            </w:pPr>
            <w:r>
              <w:rPr>
                <w:b w:val="false"/>
                <w:bCs w:val="false"/>
                <w:color w:val="000000"/>
                <w:sz w:val="20"/>
                <w:szCs w:val="20"/>
              </w:rPr>
              <w:t xml:space="preserve">0,2065</w:t>
            </w:r>
          </w:p>
        </w:tc>
        <w:tc>
          <w:tcPr>
            <w:tcW w:type="dxa" w:w="2255"/>
            <w:vAlign w:val="center"/>
          </w:tcPr>
          <w:p>
            <w:pPr>
              <w:jc w:val="center"/>
            </w:pPr>
            <w:r>
              <w:rPr>
                <w:b w:val="false"/>
                <w:bCs w:val="false"/>
                <w:color w:val="000000"/>
                <w:sz w:val="20"/>
                <w:szCs w:val="20"/>
              </w:rPr>
              <w:t xml:space="preserve">20,65%</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2 — Distribuição por classe</w:t>
      </w:r>
    </w:p>
    <w:p>
      <w:pPr>
        <w:spacing w:after="200"/>
        <w:jc w:val="both"/>
      </w:pPr>
      <w:r>
        <w:t xml:space="preserve">A distribuição entre classes não é equilibrada: mais da metade dos passageiros (55,11%) viajava na 3ª classe, a mais barata. Isso é consistente com o perfil predominante de emigrantes europeus em busca de uma nova vida na América, que representavam a maior parte do público desse tipo de travessia.</w:t>
      </w:r>
    </w:p>
    <w:p>
      <w:pPr>
        <w:pStyle w:val="Heading2"/>
        <w:spacing w:after="150" w:before="300"/>
      </w:pPr>
      <w:r>
        <w:t xml:space="preserve">3.3 Sobrevivência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rPr>
          <w:tblHeader/>
        </w:trPr>
        <w:tc>
          <w:tcPr>
            <w:tcW w:type="dxa" w:w="2255"/>
            <w:shd w:fill="2E5266" w:val="clear"/>
            <w:vAlign w:val="center"/>
          </w:tcPr>
          <w:p>
            <w:pPr>
              <w:jc w:val="center"/>
            </w:pPr>
            <w:r>
              <w:rPr>
                <w:b/>
                <w:bCs/>
                <w:color w:val="FFFFFF"/>
                <w:sz w:val="20"/>
                <w:szCs w:val="20"/>
              </w:rPr>
              <w:t xml:space="preserve">Situação</w:t>
            </w:r>
          </w:p>
        </w:tc>
        <w:tc>
          <w:tcPr>
            <w:tcW w:type="dxa" w:w="2255"/>
            <w:shd w:fill="2E5266" w:val="clear"/>
            <w:vAlign w:val="center"/>
          </w:tcPr>
          <w:p>
            <w:pPr>
              <w:jc w:val="center"/>
            </w:pPr>
            <w:r>
              <w:rPr>
                <w:b/>
                <w:bCs/>
                <w:color w:val="FFFFFF"/>
                <w:sz w:val="20"/>
                <w:szCs w:val="20"/>
              </w:rPr>
              <w:t xml:space="preserve">Freq. absoluta</w:t>
            </w:r>
          </w:p>
        </w:tc>
        <w:tc>
          <w:tcPr>
            <w:tcW w:type="dxa" w:w="2255"/>
            <w:shd w:fill="2E5266" w:val="clear"/>
            <w:vAlign w:val="center"/>
          </w:tcPr>
          <w:p>
            <w:pPr>
              <w:jc w:val="center"/>
            </w:pPr>
            <w:r>
              <w:rPr>
                <w:b/>
                <w:bCs/>
                <w:color w:val="FFFFFF"/>
                <w:sz w:val="20"/>
                <w:szCs w:val="20"/>
              </w:rPr>
              <w:t xml:space="preserve">Freq. relativa</w:t>
            </w:r>
          </w:p>
        </w:tc>
        <w:tc>
          <w:tcPr>
            <w:tcW w:type="dxa" w:w="2255"/>
            <w:shd w:fill="2E5266" w:val="clear"/>
            <w:vAlign w:val="center"/>
          </w:tcPr>
          <w:p>
            <w:pPr>
              <w:jc w:val="center"/>
            </w:pPr>
            <w:r>
              <w:rPr>
                <w:b/>
                <w:bCs/>
                <w:color w:val="FFFFFF"/>
                <w:sz w:val="20"/>
                <w:szCs w:val="20"/>
              </w:rPr>
              <w:t xml:space="preserve">%</w:t>
            </w:r>
          </w:p>
        </w:tc>
      </w:tr>
      <w:tr>
        <w:tc>
          <w:tcPr>
            <w:tcW w:type="dxa" w:w="2255"/>
            <w:vAlign w:val="center"/>
          </w:tcPr>
          <w:p>
            <w:pPr>
              <w:jc w:val="center"/>
            </w:pPr>
            <w:r>
              <w:rPr>
                <w:b w:val="false"/>
                <w:bCs w:val="false"/>
                <w:color w:val="000000"/>
                <w:sz w:val="20"/>
                <w:szCs w:val="20"/>
              </w:rPr>
              <w:t xml:space="preserve">Não sobreviveu</w:t>
            </w:r>
          </w:p>
        </w:tc>
        <w:tc>
          <w:tcPr>
            <w:tcW w:type="dxa" w:w="2255"/>
            <w:vAlign w:val="center"/>
          </w:tcPr>
          <w:p>
            <w:pPr>
              <w:jc w:val="center"/>
            </w:pPr>
            <w:r>
              <w:rPr>
                <w:b w:val="false"/>
                <w:bCs w:val="false"/>
                <w:color w:val="000000"/>
                <w:sz w:val="20"/>
                <w:szCs w:val="20"/>
              </w:rPr>
              <w:t xml:space="preserve">549</w:t>
            </w:r>
          </w:p>
        </w:tc>
        <w:tc>
          <w:tcPr>
            <w:tcW w:type="dxa" w:w="2255"/>
            <w:vAlign w:val="center"/>
          </w:tcPr>
          <w:p>
            <w:pPr>
              <w:jc w:val="center"/>
            </w:pPr>
            <w:r>
              <w:rPr>
                <w:b w:val="false"/>
                <w:bCs w:val="false"/>
                <w:color w:val="000000"/>
                <w:sz w:val="20"/>
                <w:szCs w:val="20"/>
              </w:rPr>
              <w:t xml:space="preserve">0,6162</w:t>
            </w:r>
          </w:p>
        </w:tc>
        <w:tc>
          <w:tcPr>
            <w:tcW w:type="dxa" w:w="2255"/>
            <w:vAlign w:val="center"/>
          </w:tcPr>
          <w:p>
            <w:pPr>
              <w:jc w:val="center"/>
            </w:pPr>
            <w:r>
              <w:rPr>
                <w:b w:val="false"/>
                <w:bCs w:val="false"/>
                <w:color w:val="000000"/>
                <w:sz w:val="20"/>
                <w:szCs w:val="20"/>
              </w:rPr>
              <w:t xml:space="preserve">61,62%</w:t>
            </w:r>
          </w:p>
        </w:tc>
      </w:tr>
      <w:tr>
        <w:tc>
          <w:tcPr>
            <w:tcW w:type="dxa" w:w="2255"/>
            <w:vAlign w:val="center"/>
          </w:tcPr>
          <w:p>
            <w:pPr>
              <w:jc w:val="center"/>
            </w:pPr>
            <w:r>
              <w:rPr>
                <w:b w:val="false"/>
                <w:bCs w:val="false"/>
                <w:color w:val="000000"/>
                <w:sz w:val="20"/>
                <w:szCs w:val="20"/>
              </w:rPr>
              <w:t xml:space="preserve">Sobreviveu</w:t>
            </w:r>
          </w:p>
        </w:tc>
        <w:tc>
          <w:tcPr>
            <w:tcW w:type="dxa" w:w="2255"/>
            <w:vAlign w:val="center"/>
          </w:tcPr>
          <w:p>
            <w:pPr>
              <w:jc w:val="center"/>
            </w:pPr>
            <w:r>
              <w:rPr>
                <w:b w:val="false"/>
                <w:bCs w:val="false"/>
                <w:color w:val="000000"/>
                <w:sz w:val="20"/>
                <w:szCs w:val="20"/>
              </w:rPr>
              <w:t xml:space="preserve">342</w:t>
            </w:r>
          </w:p>
        </w:tc>
        <w:tc>
          <w:tcPr>
            <w:tcW w:type="dxa" w:w="2255"/>
            <w:vAlign w:val="center"/>
          </w:tcPr>
          <w:p>
            <w:pPr>
              <w:jc w:val="center"/>
            </w:pPr>
            <w:r>
              <w:rPr>
                <w:b w:val="false"/>
                <w:bCs w:val="false"/>
                <w:color w:val="000000"/>
                <w:sz w:val="20"/>
                <w:szCs w:val="20"/>
              </w:rPr>
              <w:t xml:space="preserve">0,3838</w:t>
            </w:r>
          </w:p>
        </w:tc>
        <w:tc>
          <w:tcPr>
            <w:tcW w:type="dxa" w:w="2255"/>
            <w:vAlign w:val="center"/>
          </w:tcPr>
          <w:p>
            <w:pPr>
              <w:jc w:val="center"/>
            </w:pPr>
            <w:r>
              <w:rPr>
                <w:b w:val="false"/>
                <w:bCs w:val="false"/>
                <w:color w:val="000000"/>
                <w:sz w:val="20"/>
                <w:szCs w:val="20"/>
              </w:rPr>
              <w:t xml:space="preserve">38,38%</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3 — Sobreviventes x não sobreviventes</w:t>
      </w:r>
    </w:p>
    <w:p>
      <w:pPr>
        <w:spacing w:after="200"/>
        <w:jc w:val="both"/>
      </w:pPr>
      <w:r>
        <w:t xml:space="preserve">Apenas 38,38% dos passageiros da base sobreviveram ao naufrágio. A maioria (61,62%) não resistiu, o que reflete a quantidade insuficiente de botes salva-vidas disponíveis para o número total de pessoas a bordo, um dos fatos mais conhecidos sobre a tragédia.</w:t>
      </w:r>
    </w:p>
    <w:p>
      <w:pPr>
        <w:pStyle w:val="Heading2"/>
        <w:spacing w:after="150" w:before="300"/>
      </w:pPr>
      <w:r>
        <w:t xml:space="preserve">3.4 Local de embarque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rPr>
          <w:tblHeader/>
        </w:trPr>
        <w:tc>
          <w:tcPr>
            <w:tcW w:type="dxa" w:w="2255"/>
            <w:shd w:fill="2E5266" w:val="clear"/>
            <w:vAlign w:val="center"/>
          </w:tcPr>
          <w:p>
            <w:pPr>
              <w:jc w:val="center"/>
            </w:pPr>
            <w:r>
              <w:rPr>
                <w:b/>
                <w:bCs/>
                <w:color w:val="FFFFFF"/>
                <w:sz w:val="20"/>
                <w:szCs w:val="20"/>
              </w:rPr>
              <w:t xml:space="preserve">Porto</w:t>
            </w:r>
          </w:p>
        </w:tc>
        <w:tc>
          <w:tcPr>
            <w:tcW w:type="dxa" w:w="2255"/>
            <w:shd w:fill="2E5266" w:val="clear"/>
            <w:vAlign w:val="center"/>
          </w:tcPr>
          <w:p>
            <w:pPr>
              <w:jc w:val="center"/>
            </w:pPr>
            <w:r>
              <w:rPr>
                <w:b/>
                <w:bCs/>
                <w:color w:val="FFFFFF"/>
                <w:sz w:val="20"/>
                <w:szCs w:val="20"/>
              </w:rPr>
              <w:t xml:space="preserve">Freq. absoluta</w:t>
            </w:r>
          </w:p>
        </w:tc>
        <w:tc>
          <w:tcPr>
            <w:tcW w:type="dxa" w:w="2255"/>
            <w:shd w:fill="2E5266" w:val="clear"/>
            <w:vAlign w:val="center"/>
          </w:tcPr>
          <w:p>
            <w:pPr>
              <w:jc w:val="center"/>
            </w:pPr>
            <w:r>
              <w:rPr>
                <w:b/>
                <w:bCs/>
                <w:color w:val="FFFFFF"/>
                <w:sz w:val="20"/>
                <w:szCs w:val="20"/>
              </w:rPr>
              <w:t xml:space="preserve">Freq. relativa</w:t>
            </w:r>
          </w:p>
        </w:tc>
        <w:tc>
          <w:tcPr>
            <w:tcW w:type="dxa" w:w="2255"/>
            <w:shd w:fill="2E5266" w:val="clear"/>
            <w:vAlign w:val="center"/>
          </w:tcPr>
          <w:p>
            <w:pPr>
              <w:jc w:val="center"/>
            </w:pPr>
            <w:r>
              <w:rPr>
                <w:b/>
                <w:bCs/>
                <w:color w:val="FFFFFF"/>
                <w:sz w:val="20"/>
                <w:szCs w:val="20"/>
              </w:rPr>
              <w:t xml:space="preserve">%</w:t>
            </w:r>
          </w:p>
        </w:tc>
      </w:tr>
      <w:tr>
        <w:tc>
          <w:tcPr>
            <w:tcW w:type="dxa" w:w="2255"/>
            <w:vAlign w:val="center"/>
          </w:tcPr>
          <w:p>
            <w:pPr>
              <w:jc w:val="center"/>
            </w:pPr>
            <w:r>
              <w:rPr>
                <w:b w:val="false"/>
                <w:bCs w:val="false"/>
                <w:color w:val="000000"/>
                <w:sz w:val="20"/>
                <w:szCs w:val="20"/>
              </w:rPr>
              <w:t xml:space="preserve">Southampton (S)</w:t>
            </w:r>
          </w:p>
        </w:tc>
        <w:tc>
          <w:tcPr>
            <w:tcW w:type="dxa" w:w="2255"/>
            <w:vAlign w:val="center"/>
          </w:tcPr>
          <w:p>
            <w:pPr>
              <w:jc w:val="center"/>
            </w:pPr>
            <w:r>
              <w:rPr>
                <w:b w:val="false"/>
                <w:bCs w:val="false"/>
                <w:color w:val="000000"/>
                <w:sz w:val="20"/>
                <w:szCs w:val="20"/>
              </w:rPr>
              <w:t xml:space="preserve">646</w:t>
            </w:r>
          </w:p>
        </w:tc>
        <w:tc>
          <w:tcPr>
            <w:tcW w:type="dxa" w:w="2255"/>
            <w:vAlign w:val="center"/>
          </w:tcPr>
          <w:p>
            <w:pPr>
              <w:jc w:val="center"/>
            </w:pPr>
            <w:r>
              <w:rPr>
                <w:b w:val="false"/>
                <w:bCs w:val="false"/>
                <w:color w:val="000000"/>
                <w:sz w:val="20"/>
                <w:szCs w:val="20"/>
              </w:rPr>
              <w:t xml:space="preserve">0,7250</w:t>
            </w:r>
          </w:p>
        </w:tc>
        <w:tc>
          <w:tcPr>
            <w:tcW w:type="dxa" w:w="2255"/>
            <w:vAlign w:val="center"/>
          </w:tcPr>
          <w:p>
            <w:pPr>
              <w:jc w:val="center"/>
            </w:pPr>
            <w:r>
              <w:rPr>
                <w:b w:val="false"/>
                <w:bCs w:val="false"/>
                <w:color w:val="000000"/>
                <w:sz w:val="20"/>
                <w:szCs w:val="20"/>
              </w:rPr>
              <w:t xml:space="preserve">72,50%</w:t>
            </w:r>
          </w:p>
        </w:tc>
      </w:tr>
      <w:tr>
        <w:tc>
          <w:tcPr>
            <w:tcW w:type="dxa" w:w="2255"/>
            <w:vAlign w:val="center"/>
          </w:tcPr>
          <w:p>
            <w:pPr>
              <w:jc w:val="center"/>
            </w:pPr>
            <w:r>
              <w:rPr>
                <w:b w:val="false"/>
                <w:bCs w:val="false"/>
                <w:color w:val="000000"/>
                <w:sz w:val="20"/>
                <w:szCs w:val="20"/>
              </w:rPr>
              <w:t xml:space="preserve">Cherbourg (C)</w:t>
            </w:r>
          </w:p>
        </w:tc>
        <w:tc>
          <w:tcPr>
            <w:tcW w:type="dxa" w:w="2255"/>
            <w:vAlign w:val="center"/>
          </w:tcPr>
          <w:p>
            <w:pPr>
              <w:jc w:val="center"/>
            </w:pPr>
            <w:r>
              <w:rPr>
                <w:b w:val="false"/>
                <w:bCs w:val="false"/>
                <w:color w:val="000000"/>
                <w:sz w:val="20"/>
                <w:szCs w:val="20"/>
              </w:rPr>
              <w:t xml:space="preserve">168</w:t>
            </w:r>
          </w:p>
        </w:tc>
        <w:tc>
          <w:tcPr>
            <w:tcW w:type="dxa" w:w="2255"/>
            <w:vAlign w:val="center"/>
          </w:tcPr>
          <w:p>
            <w:pPr>
              <w:jc w:val="center"/>
            </w:pPr>
            <w:r>
              <w:rPr>
                <w:b w:val="false"/>
                <w:bCs w:val="false"/>
                <w:color w:val="000000"/>
                <w:sz w:val="20"/>
                <w:szCs w:val="20"/>
              </w:rPr>
              <w:t xml:space="preserve">0,1886</w:t>
            </w:r>
          </w:p>
        </w:tc>
        <w:tc>
          <w:tcPr>
            <w:tcW w:type="dxa" w:w="2255"/>
            <w:vAlign w:val="center"/>
          </w:tcPr>
          <w:p>
            <w:pPr>
              <w:jc w:val="center"/>
            </w:pPr>
            <w:r>
              <w:rPr>
                <w:b w:val="false"/>
                <w:bCs w:val="false"/>
                <w:color w:val="000000"/>
                <w:sz w:val="20"/>
                <w:szCs w:val="20"/>
              </w:rPr>
              <w:t xml:space="preserve">18,86%</w:t>
            </w:r>
          </w:p>
        </w:tc>
      </w:tr>
      <w:tr>
        <w:tc>
          <w:tcPr>
            <w:tcW w:type="dxa" w:w="2255"/>
            <w:vAlign w:val="center"/>
          </w:tcPr>
          <w:p>
            <w:pPr>
              <w:jc w:val="center"/>
            </w:pPr>
            <w:r>
              <w:rPr>
                <w:b w:val="false"/>
                <w:bCs w:val="false"/>
                <w:color w:val="000000"/>
                <w:sz w:val="20"/>
                <w:szCs w:val="20"/>
              </w:rPr>
              <w:t xml:space="preserve">Queenstown (Q)</w:t>
            </w:r>
          </w:p>
        </w:tc>
        <w:tc>
          <w:tcPr>
            <w:tcW w:type="dxa" w:w="2255"/>
            <w:vAlign w:val="center"/>
          </w:tcPr>
          <w:p>
            <w:pPr>
              <w:jc w:val="center"/>
            </w:pPr>
            <w:r>
              <w:rPr>
                <w:b w:val="false"/>
                <w:bCs w:val="false"/>
                <w:color w:val="000000"/>
                <w:sz w:val="20"/>
                <w:szCs w:val="20"/>
              </w:rPr>
              <w:t xml:space="preserve">77</w:t>
            </w:r>
          </w:p>
        </w:tc>
        <w:tc>
          <w:tcPr>
            <w:tcW w:type="dxa" w:w="2255"/>
            <w:vAlign w:val="center"/>
          </w:tcPr>
          <w:p>
            <w:pPr>
              <w:jc w:val="center"/>
            </w:pPr>
            <w:r>
              <w:rPr>
                <w:b w:val="false"/>
                <w:bCs w:val="false"/>
                <w:color w:val="000000"/>
                <w:sz w:val="20"/>
                <w:szCs w:val="20"/>
              </w:rPr>
              <w:t xml:space="preserve">0,0864</w:t>
            </w:r>
          </w:p>
        </w:tc>
        <w:tc>
          <w:tcPr>
            <w:tcW w:type="dxa" w:w="2255"/>
            <w:vAlign w:val="center"/>
          </w:tcPr>
          <w:p>
            <w:pPr>
              <w:jc w:val="center"/>
            </w:pPr>
            <w:r>
              <w:rPr>
                <w:b w:val="false"/>
                <w:bCs w:val="false"/>
                <w:color w:val="000000"/>
                <w:sz w:val="20"/>
                <w:szCs w:val="20"/>
              </w:rPr>
              <w:t xml:space="preserve">8,64%</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4 — Local de embarque</w:t>
      </w:r>
    </w:p>
    <w:p>
      <w:pPr>
        <w:spacing w:after="200"/>
        <w:jc w:val="both"/>
      </w:pPr>
      <w:r>
        <w:t xml:space="preserve">Southampton concentra 72,5% dos embarques por ser o porto de origem da viagem, na Inglaterra. Cherbourg (França) e Queenstown (Irlanda) foram paradas intermediárias, o que explica o número bem menor de passageiros embarcados nesses locais.</w:t>
      </w:r>
    </w:p>
    <w:p>
      <w:r>
        <w:br w:type="page"/>
      </w:r>
    </w:p>
    <w:p>
      <w:pPr>
        <w:pStyle w:val="Heading1"/>
        <w:spacing w:after="200" w:before="400"/>
      </w:pPr>
      <w:r>
        <w:t xml:space="preserve">4. Análise das variáveis quantitativas</w:t>
      </w:r>
    </w:p>
    <w:p>
      <w:pPr>
        <w:pStyle w:val="Heading2"/>
        <w:spacing w:after="150" w:before="300"/>
      </w:pPr>
      <w:r>
        <w:t xml:space="preserve">4.1 Idade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2E5266" w:val="clear"/>
            <w:vAlign w:val="center"/>
          </w:tcPr>
          <w:p>
            <w:pPr>
              <w:jc w:val="center"/>
            </w:pPr>
            <w:r>
              <w:rPr>
                <w:b/>
                <w:bCs/>
                <w:color w:val="FFFFFF"/>
                <w:sz w:val="20"/>
                <w:szCs w:val="20"/>
              </w:rPr>
              <w:t xml:space="preserve">Medida</w:t>
            </w:r>
          </w:p>
        </w:tc>
        <w:tc>
          <w:tcPr>
            <w:tcW w:type="dxa" w:w="4510"/>
            <w:shd w:fill="2E5266" w:val="clear"/>
            <w:vAlign w:val="center"/>
          </w:tcPr>
          <w:p>
            <w:pPr>
              <w:jc w:val="center"/>
            </w:pPr>
            <w:r>
              <w:rPr>
                <w:b/>
                <w:bCs/>
                <w:color w:val="FFFFFF"/>
                <w:sz w:val="20"/>
                <w:szCs w:val="20"/>
              </w:rPr>
              <w:t xml:space="preserve">Valor</w:t>
            </w:r>
          </w:p>
        </w:tc>
      </w:tr>
      <w:tr>
        <w:tc>
          <w:tcPr>
            <w:tcW w:type="dxa" w:w="4510"/>
            <w:vAlign w:val="center"/>
          </w:tcPr>
          <w:p>
            <w:pPr>
              <w:jc w:val="center"/>
            </w:pPr>
            <w:r>
              <w:rPr>
                <w:b w:val="false"/>
                <w:bCs w:val="false"/>
                <w:color w:val="000000"/>
                <w:sz w:val="20"/>
                <w:szCs w:val="20"/>
              </w:rPr>
              <w:t xml:space="preserve">Mínimo</w:t>
            </w:r>
          </w:p>
        </w:tc>
        <w:tc>
          <w:tcPr>
            <w:tcW w:type="dxa" w:w="4510"/>
            <w:vAlign w:val="center"/>
          </w:tcPr>
          <w:p>
            <w:pPr>
              <w:jc w:val="center"/>
            </w:pPr>
            <w:r>
              <w:rPr>
                <w:b w:val="false"/>
                <w:bCs w:val="false"/>
                <w:color w:val="000000"/>
                <w:sz w:val="20"/>
                <w:szCs w:val="20"/>
              </w:rPr>
              <w:t xml:space="preserve">0,42</w:t>
            </w:r>
          </w:p>
        </w:tc>
      </w:tr>
      <w:tr>
        <w:tc>
          <w:tcPr>
            <w:tcW w:type="dxa" w:w="4510"/>
            <w:vAlign w:val="center"/>
          </w:tcPr>
          <w:p>
            <w:pPr>
              <w:jc w:val="center"/>
            </w:pPr>
            <w:r>
              <w:rPr>
                <w:b w:val="false"/>
                <w:bCs w:val="false"/>
                <w:color w:val="000000"/>
                <w:sz w:val="20"/>
                <w:szCs w:val="20"/>
              </w:rPr>
              <w:t xml:space="preserve">Máximo</w:t>
            </w:r>
          </w:p>
        </w:tc>
        <w:tc>
          <w:tcPr>
            <w:tcW w:type="dxa" w:w="4510"/>
            <w:vAlign w:val="center"/>
          </w:tcPr>
          <w:p>
            <w:pPr>
              <w:jc w:val="center"/>
            </w:pPr>
            <w:r>
              <w:rPr>
                <w:b w:val="false"/>
                <w:bCs w:val="false"/>
                <w:color w:val="000000"/>
                <w:sz w:val="20"/>
                <w:szCs w:val="20"/>
              </w:rPr>
              <w:t xml:space="preserve">80,00</w:t>
            </w:r>
          </w:p>
        </w:tc>
      </w:tr>
      <w:tr>
        <w:tc>
          <w:tcPr>
            <w:tcW w:type="dxa" w:w="4510"/>
            <w:vAlign w:val="center"/>
          </w:tcPr>
          <w:p>
            <w:pPr>
              <w:jc w:val="center"/>
            </w:pPr>
            <w:r>
              <w:rPr>
                <w:b w:val="false"/>
                <w:bCs w:val="false"/>
                <w:color w:val="000000"/>
                <w:sz w:val="20"/>
                <w:szCs w:val="20"/>
              </w:rPr>
              <w:t xml:space="preserve">Média</w:t>
            </w:r>
          </w:p>
        </w:tc>
        <w:tc>
          <w:tcPr>
            <w:tcW w:type="dxa" w:w="4510"/>
            <w:vAlign w:val="center"/>
          </w:tcPr>
          <w:p>
            <w:pPr>
              <w:jc w:val="center"/>
            </w:pPr>
            <w:r>
              <w:rPr>
                <w:b w:val="false"/>
                <w:bCs w:val="false"/>
                <w:color w:val="000000"/>
                <w:sz w:val="20"/>
                <w:szCs w:val="20"/>
              </w:rPr>
              <w:t xml:space="preserve">29,36</w:t>
            </w:r>
          </w:p>
        </w:tc>
      </w:tr>
      <w:tr>
        <w:tc>
          <w:tcPr>
            <w:tcW w:type="dxa" w:w="4510"/>
            <w:vAlign w:val="center"/>
          </w:tcPr>
          <w:p>
            <w:pPr>
              <w:jc w:val="center"/>
            </w:pPr>
            <w:r>
              <w:rPr>
                <w:b w:val="false"/>
                <w:bCs w:val="false"/>
                <w:color w:val="000000"/>
                <w:sz w:val="20"/>
                <w:szCs w:val="20"/>
              </w:rPr>
              <w:t xml:space="preserve">Mediana (Q2)</w:t>
            </w:r>
          </w:p>
        </w:tc>
        <w:tc>
          <w:tcPr>
            <w:tcW w:type="dxa" w:w="4510"/>
            <w:vAlign w:val="center"/>
          </w:tcPr>
          <w:p>
            <w:pPr>
              <w:jc w:val="center"/>
            </w:pPr>
            <w:r>
              <w:rPr>
                <w:b w:val="false"/>
                <w:bCs w:val="false"/>
                <w:color w:val="000000"/>
                <w:sz w:val="20"/>
                <w:szCs w:val="20"/>
              </w:rPr>
              <w:t xml:space="preserve">28,00</w:t>
            </w:r>
          </w:p>
        </w:tc>
      </w:tr>
      <w:tr>
        <w:tc>
          <w:tcPr>
            <w:tcW w:type="dxa" w:w="4510"/>
            <w:vAlign w:val="center"/>
          </w:tcPr>
          <w:p>
            <w:pPr>
              <w:jc w:val="center"/>
            </w:pPr>
            <w:r>
              <w:rPr>
                <w:b w:val="false"/>
                <w:bCs w:val="false"/>
                <w:color w:val="000000"/>
                <w:sz w:val="20"/>
                <w:szCs w:val="20"/>
              </w:rPr>
              <w:t xml:space="preserve">Moda</w:t>
            </w:r>
          </w:p>
        </w:tc>
        <w:tc>
          <w:tcPr>
            <w:tcW w:type="dxa" w:w="4510"/>
            <w:vAlign w:val="center"/>
          </w:tcPr>
          <w:p>
            <w:pPr>
              <w:jc w:val="center"/>
            </w:pPr>
            <w:r>
              <w:rPr>
                <w:b w:val="false"/>
                <w:bCs w:val="false"/>
                <w:color w:val="000000"/>
                <w:sz w:val="20"/>
                <w:szCs w:val="20"/>
              </w:rPr>
              <w:t xml:space="preserve">28,00</w:t>
            </w:r>
          </w:p>
        </w:tc>
      </w:tr>
      <w:tr>
        <w:tc>
          <w:tcPr>
            <w:tcW w:type="dxa" w:w="4510"/>
            <w:vAlign w:val="center"/>
          </w:tcPr>
          <w:p>
            <w:pPr>
              <w:jc w:val="center"/>
            </w:pPr>
            <w:r>
              <w:rPr>
                <w:b w:val="false"/>
                <w:bCs w:val="false"/>
                <w:color w:val="000000"/>
                <w:sz w:val="20"/>
                <w:szCs w:val="20"/>
              </w:rPr>
              <w:t xml:space="preserve">Variância</w:t>
            </w:r>
          </w:p>
        </w:tc>
        <w:tc>
          <w:tcPr>
            <w:tcW w:type="dxa" w:w="4510"/>
            <w:vAlign w:val="center"/>
          </w:tcPr>
          <w:p>
            <w:pPr>
              <w:jc w:val="center"/>
            </w:pPr>
            <w:r>
              <w:rPr>
                <w:b w:val="false"/>
                <w:bCs w:val="false"/>
                <w:color w:val="000000"/>
                <w:sz w:val="20"/>
                <w:szCs w:val="20"/>
              </w:rPr>
              <w:t xml:space="preserve">169,51</w:t>
            </w:r>
          </w:p>
        </w:tc>
      </w:tr>
      <w:tr>
        <w:tc>
          <w:tcPr>
            <w:tcW w:type="dxa" w:w="4510"/>
            <w:vAlign w:val="center"/>
          </w:tcPr>
          <w:p>
            <w:pPr>
              <w:jc w:val="center"/>
            </w:pPr>
            <w:r>
              <w:rPr>
                <w:b w:val="false"/>
                <w:bCs w:val="false"/>
                <w:color w:val="000000"/>
                <w:sz w:val="20"/>
                <w:szCs w:val="20"/>
              </w:rPr>
              <w:t xml:space="preserve">Desvio-padrão</w:t>
            </w:r>
          </w:p>
        </w:tc>
        <w:tc>
          <w:tcPr>
            <w:tcW w:type="dxa" w:w="4510"/>
            <w:vAlign w:val="center"/>
          </w:tcPr>
          <w:p>
            <w:pPr>
              <w:jc w:val="center"/>
            </w:pPr>
            <w:r>
              <w:rPr>
                <w:b w:val="false"/>
                <w:bCs w:val="false"/>
                <w:color w:val="000000"/>
                <w:sz w:val="20"/>
                <w:szCs w:val="20"/>
              </w:rPr>
              <w:t xml:space="preserve">13,02</w:t>
            </w:r>
          </w:p>
        </w:tc>
      </w:tr>
      <w:tr>
        <w:tc>
          <w:tcPr>
            <w:tcW w:type="dxa" w:w="4510"/>
            <w:vAlign w:val="center"/>
          </w:tcPr>
          <w:p>
            <w:pPr>
              <w:jc w:val="center"/>
            </w:pPr>
            <w:r>
              <w:rPr>
                <w:b w:val="false"/>
                <w:bCs w:val="false"/>
                <w:color w:val="000000"/>
                <w:sz w:val="20"/>
                <w:szCs w:val="20"/>
              </w:rPr>
              <w:t xml:space="preserve">Q1</w:t>
            </w:r>
          </w:p>
        </w:tc>
        <w:tc>
          <w:tcPr>
            <w:tcW w:type="dxa" w:w="4510"/>
            <w:vAlign w:val="center"/>
          </w:tcPr>
          <w:p>
            <w:pPr>
              <w:jc w:val="center"/>
            </w:pPr>
            <w:r>
              <w:rPr>
                <w:b w:val="false"/>
                <w:bCs w:val="false"/>
                <w:color w:val="000000"/>
                <w:sz w:val="20"/>
                <w:szCs w:val="20"/>
              </w:rPr>
              <w:t xml:space="preserve">22,00</w:t>
            </w:r>
          </w:p>
        </w:tc>
      </w:tr>
      <w:tr>
        <w:tc>
          <w:tcPr>
            <w:tcW w:type="dxa" w:w="4510"/>
            <w:vAlign w:val="center"/>
          </w:tcPr>
          <w:p>
            <w:pPr>
              <w:jc w:val="center"/>
            </w:pPr>
            <w:r>
              <w:rPr>
                <w:b w:val="false"/>
                <w:bCs w:val="false"/>
                <w:color w:val="000000"/>
                <w:sz w:val="20"/>
                <w:szCs w:val="20"/>
              </w:rPr>
              <w:t xml:space="preserve">Q3</w:t>
            </w:r>
          </w:p>
        </w:tc>
        <w:tc>
          <w:tcPr>
            <w:tcW w:type="dxa" w:w="4510"/>
            <w:vAlign w:val="center"/>
          </w:tcPr>
          <w:p>
            <w:pPr>
              <w:jc w:val="center"/>
            </w:pPr>
            <w:r>
              <w:rPr>
                <w:b w:val="false"/>
                <w:bCs w:val="false"/>
                <w:color w:val="000000"/>
                <w:sz w:val="20"/>
                <w:szCs w:val="20"/>
              </w:rPr>
              <w:t xml:space="preserve">35,00</w:t>
            </w:r>
          </w:p>
        </w:tc>
      </w:tr>
      <w:tr>
        <w:tc>
          <w:tcPr>
            <w:tcW w:type="dxa" w:w="4510"/>
            <w:vAlign w:val="center"/>
          </w:tcPr>
          <w:p>
            <w:pPr>
              <w:jc w:val="center"/>
            </w:pPr>
            <w:r>
              <w:rPr>
                <w:b w:val="false"/>
                <w:bCs w:val="false"/>
                <w:color w:val="000000"/>
                <w:sz w:val="20"/>
                <w:szCs w:val="20"/>
              </w:rPr>
              <w:t xml:space="preserve">Amplitude</w:t>
            </w:r>
          </w:p>
        </w:tc>
        <w:tc>
          <w:tcPr>
            <w:tcW w:type="dxa" w:w="4510"/>
            <w:vAlign w:val="center"/>
          </w:tcPr>
          <w:p>
            <w:pPr>
              <w:jc w:val="center"/>
            </w:pPr>
            <w:r>
              <w:rPr>
                <w:b w:val="false"/>
                <w:bCs w:val="false"/>
                <w:color w:val="000000"/>
                <w:sz w:val="20"/>
                <w:szCs w:val="20"/>
              </w:rPr>
              <w:t xml:space="preserve">79,58</w:t>
            </w:r>
          </w:p>
        </w:tc>
      </w:tr>
      <w:tr>
        <w:tc>
          <w:tcPr>
            <w:tcW w:type="dxa" w:w="4510"/>
            <w:vAlign w:val="center"/>
          </w:tcPr>
          <w:p>
            <w:pPr>
              <w:jc w:val="center"/>
            </w:pPr>
            <w:r>
              <w:rPr>
                <w:b w:val="false"/>
                <w:bCs w:val="false"/>
                <w:color w:val="000000"/>
                <w:sz w:val="20"/>
                <w:szCs w:val="20"/>
              </w:rPr>
              <w:t xml:space="preserve">Amplitude interquartílica (IQR)</w:t>
            </w:r>
          </w:p>
        </w:tc>
        <w:tc>
          <w:tcPr>
            <w:tcW w:type="dxa" w:w="4510"/>
            <w:vAlign w:val="center"/>
          </w:tcPr>
          <w:p>
            <w:pPr>
              <w:jc w:val="center"/>
            </w:pPr>
            <w:r>
              <w:rPr>
                <w:b w:val="false"/>
                <w:bCs w:val="false"/>
                <w:color w:val="000000"/>
                <w:sz w:val="20"/>
                <w:szCs w:val="20"/>
              </w:rPr>
              <w:t xml:space="preserve">13,00</w:t>
            </w:r>
          </w:p>
        </w:tc>
      </w:tr>
    </w:tbl>
    <w:p>
      <w:pPr>
        <w:spacing w:after="80" w:before="150"/>
        <w:jc w:val="center"/>
      </w:pPr>
      <w:r>
        <w:drawing>
          <wp:inline distT="0" distB="0" distL="0" distR="0">
            <wp:extent cx="5238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238750" cy="2038350"/>
                    </a:xfrm>
                    <a:prstGeom prst="rect">
                      <a:avLst/>
                    </a:prstGeom>
                  </pic:spPr>
                </pic:pic>
              </a:graphicData>
            </a:graphic>
          </wp:inline>
        </w:drawing>
      </w:r>
    </w:p>
    <w:p>
      <w:pPr>
        <w:spacing w:after="300"/>
        <w:jc w:val="center"/>
      </w:pPr>
      <w:r>
        <w:rPr>
          <w:i/>
          <w:iCs/>
          <w:sz w:val="18"/>
          <w:szCs w:val="18"/>
        </w:rPr>
        <w:t xml:space="preserve">Figura 5 — Histograma e boxplot da idade</w:t>
      </w:r>
    </w:p>
    <w:p>
      <w:pPr>
        <w:spacing w:after="200"/>
        <w:jc w:val="both"/>
      </w:pPr>
      <w:r>
        <w:t xml:space="preserve">A média (29,36) e a mediana (28,00) da idade são próximas, o que indica uma distribuição razoavelmente simétrica, sem uma assimetria muito acentuada. A maior parte dos passageiros (50% central, IQR) tem entre 22 e 35 anos, um perfil predominantemente jovem-adulto. O boxplot mostra alguns possíveis outliers entre passageiros mais idosos, próximos dos 65-80 anos. É importante notar que a moda de 28 anos é influenciada pelo preenchimento dos 177 valores ausentes com a mediana, o que infla artificialmente essa faixa etária específica.</w:t>
      </w:r>
    </w:p>
    <w:p>
      <w:pPr>
        <w:pStyle w:val="Heading2"/>
        <w:spacing w:after="150" w:before="300"/>
      </w:pPr>
      <w:r>
        <w:t xml:space="preserve">4.2 Tarifa (Fare)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2E5266" w:val="clear"/>
            <w:vAlign w:val="center"/>
          </w:tcPr>
          <w:p>
            <w:pPr>
              <w:jc w:val="center"/>
            </w:pPr>
            <w:r>
              <w:rPr>
                <w:b/>
                <w:bCs/>
                <w:color w:val="FFFFFF"/>
                <w:sz w:val="20"/>
                <w:szCs w:val="20"/>
              </w:rPr>
              <w:t xml:space="preserve">Medida</w:t>
            </w:r>
          </w:p>
        </w:tc>
        <w:tc>
          <w:tcPr>
            <w:tcW w:type="dxa" w:w="4510"/>
            <w:shd w:fill="2E5266" w:val="clear"/>
            <w:vAlign w:val="center"/>
          </w:tcPr>
          <w:p>
            <w:pPr>
              <w:jc w:val="center"/>
            </w:pPr>
            <w:r>
              <w:rPr>
                <w:b/>
                <w:bCs/>
                <w:color w:val="FFFFFF"/>
                <w:sz w:val="20"/>
                <w:szCs w:val="20"/>
              </w:rPr>
              <w:t xml:space="preserve">Valor</w:t>
            </w:r>
          </w:p>
        </w:tc>
      </w:tr>
      <w:tr>
        <w:tc>
          <w:tcPr>
            <w:tcW w:type="dxa" w:w="4510"/>
            <w:vAlign w:val="center"/>
          </w:tcPr>
          <w:p>
            <w:pPr>
              <w:jc w:val="center"/>
            </w:pPr>
            <w:r>
              <w:rPr>
                <w:b w:val="false"/>
                <w:bCs w:val="false"/>
                <w:color w:val="000000"/>
                <w:sz w:val="20"/>
                <w:szCs w:val="20"/>
              </w:rPr>
              <w:t xml:space="preserve">Mínimo</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Máximo</w:t>
            </w:r>
          </w:p>
        </w:tc>
        <w:tc>
          <w:tcPr>
            <w:tcW w:type="dxa" w:w="4510"/>
            <w:vAlign w:val="center"/>
          </w:tcPr>
          <w:p>
            <w:pPr>
              <w:jc w:val="center"/>
            </w:pPr>
            <w:r>
              <w:rPr>
                <w:b w:val="false"/>
                <w:bCs w:val="false"/>
                <w:color w:val="000000"/>
                <w:sz w:val="20"/>
                <w:szCs w:val="20"/>
              </w:rPr>
              <w:t xml:space="preserve">512,33</w:t>
            </w:r>
          </w:p>
        </w:tc>
      </w:tr>
      <w:tr>
        <w:tc>
          <w:tcPr>
            <w:tcW w:type="dxa" w:w="4510"/>
            <w:vAlign w:val="center"/>
          </w:tcPr>
          <w:p>
            <w:pPr>
              <w:jc w:val="center"/>
            </w:pPr>
            <w:r>
              <w:rPr>
                <w:b w:val="false"/>
                <w:bCs w:val="false"/>
                <w:color w:val="000000"/>
                <w:sz w:val="20"/>
                <w:szCs w:val="20"/>
              </w:rPr>
              <w:t xml:space="preserve">Média</w:t>
            </w:r>
          </w:p>
        </w:tc>
        <w:tc>
          <w:tcPr>
            <w:tcW w:type="dxa" w:w="4510"/>
            <w:vAlign w:val="center"/>
          </w:tcPr>
          <w:p>
            <w:pPr>
              <w:jc w:val="center"/>
            </w:pPr>
            <w:r>
              <w:rPr>
                <w:b w:val="false"/>
                <w:bCs w:val="false"/>
                <w:color w:val="000000"/>
                <w:sz w:val="20"/>
                <w:szCs w:val="20"/>
              </w:rPr>
              <w:t xml:space="preserve">32,20</w:t>
            </w:r>
          </w:p>
        </w:tc>
      </w:tr>
      <w:tr>
        <w:tc>
          <w:tcPr>
            <w:tcW w:type="dxa" w:w="4510"/>
            <w:vAlign w:val="center"/>
          </w:tcPr>
          <w:p>
            <w:pPr>
              <w:jc w:val="center"/>
            </w:pPr>
            <w:r>
              <w:rPr>
                <w:b w:val="false"/>
                <w:bCs w:val="false"/>
                <w:color w:val="000000"/>
                <w:sz w:val="20"/>
                <w:szCs w:val="20"/>
              </w:rPr>
              <w:t xml:space="preserve">Mediana (Q2)</w:t>
            </w:r>
          </w:p>
        </w:tc>
        <w:tc>
          <w:tcPr>
            <w:tcW w:type="dxa" w:w="4510"/>
            <w:vAlign w:val="center"/>
          </w:tcPr>
          <w:p>
            <w:pPr>
              <w:jc w:val="center"/>
            </w:pPr>
            <w:r>
              <w:rPr>
                <w:b w:val="false"/>
                <w:bCs w:val="false"/>
                <w:color w:val="000000"/>
                <w:sz w:val="20"/>
                <w:szCs w:val="20"/>
              </w:rPr>
              <w:t xml:space="preserve">14,45</w:t>
            </w:r>
          </w:p>
        </w:tc>
      </w:tr>
      <w:tr>
        <w:tc>
          <w:tcPr>
            <w:tcW w:type="dxa" w:w="4510"/>
            <w:vAlign w:val="center"/>
          </w:tcPr>
          <w:p>
            <w:pPr>
              <w:jc w:val="center"/>
            </w:pPr>
            <w:r>
              <w:rPr>
                <w:b w:val="false"/>
                <w:bCs w:val="false"/>
                <w:color w:val="000000"/>
                <w:sz w:val="20"/>
                <w:szCs w:val="20"/>
              </w:rPr>
              <w:t xml:space="preserve">Moda</w:t>
            </w:r>
          </w:p>
        </w:tc>
        <w:tc>
          <w:tcPr>
            <w:tcW w:type="dxa" w:w="4510"/>
            <w:vAlign w:val="center"/>
          </w:tcPr>
          <w:p>
            <w:pPr>
              <w:jc w:val="center"/>
            </w:pPr>
            <w:r>
              <w:rPr>
                <w:b w:val="false"/>
                <w:bCs w:val="false"/>
                <w:color w:val="000000"/>
                <w:sz w:val="20"/>
                <w:szCs w:val="20"/>
              </w:rPr>
              <w:t xml:space="preserve">8,05</w:t>
            </w:r>
          </w:p>
        </w:tc>
      </w:tr>
      <w:tr>
        <w:tc>
          <w:tcPr>
            <w:tcW w:type="dxa" w:w="4510"/>
            <w:vAlign w:val="center"/>
          </w:tcPr>
          <w:p>
            <w:pPr>
              <w:jc w:val="center"/>
            </w:pPr>
            <w:r>
              <w:rPr>
                <w:b w:val="false"/>
                <w:bCs w:val="false"/>
                <w:color w:val="000000"/>
                <w:sz w:val="20"/>
                <w:szCs w:val="20"/>
              </w:rPr>
              <w:t xml:space="preserve">Variância</w:t>
            </w:r>
          </w:p>
        </w:tc>
        <w:tc>
          <w:tcPr>
            <w:tcW w:type="dxa" w:w="4510"/>
            <w:vAlign w:val="center"/>
          </w:tcPr>
          <w:p>
            <w:pPr>
              <w:jc w:val="center"/>
            </w:pPr>
            <w:r>
              <w:rPr>
                <w:b w:val="false"/>
                <w:bCs w:val="false"/>
                <w:color w:val="000000"/>
                <w:sz w:val="20"/>
                <w:szCs w:val="20"/>
              </w:rPr>
              <w:t xml:space="preserve">2469,44</w:t>
            </w:r>
          </w:p>
        </w:tc>
      </w:tr>
      <w:tr>
        <w:tc>
          <w:tcPr>
            <w:tcW w:type="dxa" w:w="4510"/>
            <w:vAlign w:val="center"/>
          </w:tcPr>
          <w:p>
            <w:pPr>
              <w:jc w:val="center"/>
            </w:pPr>
            <w:r>
              <w:rPr>
                <w:b w:val="false"/>
                <w:bCs w:val="false"/>
                <w:color w:val="000000"/>
                <w:sz w:val="20"/>
                <w:szCs w:val="20"/>
              </w:rPr>
              <w:t xml:space="preserve">Desvio-padrão</w:t>
            </w:r>
          </w:p>
        </w:tc>
        <w:tc>
          <w:tcPr>
            <w:tcW w:type="dxa" w:w="4510"/>
            <w:vAlign w:val="center"/>
          </w:tcPr>
          <w:p>
            <w:pPr>
              <w:jc w:val="center"/>
            </w:pPr>
            <w:r>
              <w:rPr>
                <w:b w:val="false"/>
                <w:bCs w:val="false"/>
                <w:color w:val="000000"/>
                <w:sz w:val="20"/>
                <w:szCs w:val="20"/>
              </w:rPr>
              <w:t xml:space="preserve">49,69</w:t>
            </w:r>
          </w:p>
        </w:tc>
      </w:tr>
      <w:tr>
        <w:tc>
          <w:tcPr>
            <w:tcW w:type="dxa" w:w="4510"/>
            <w:vAlign w:val="center"/>
          </w:tcPr>
          <w:p>
            <w:pPr>
              <w:jc w:val="center"/>
            </w:pPr>
            <w:r>
              <w:rPr>
                <w:b w:val="false"/>
                <w:bCs w:val="false"/>
                <w:color w:val="000000"/>
                <w:sz w:val="20"/>
                <w:szCs w:val="20"/>
              </w:rPr>
              <w:t xml:space="preserve">Q1</w:t>
            </w:r>
          </w:p>
        </w:tc>
        <w:tc>
          <w:tcPr>
            <w:tcW w:type="dxa" w:w="4510"/>
            <w:vAlign w:val="center"/>
          </w:tcPr>
          <w:p>
            <w:pPr>
              <w:jc w:val="center"/>
            </w:pPr>
            <w:r>
              <w:rPr>
                <w:b w:val="false"/>
                <w:bCs w:val="false"/>
                <w:color w:val="000000"/>
                <w:sz w:val="20"/>
                <w:szCs w:val="20"/>
              </w:rPr>
              <w:t xml:space="preserve">7,91</w:t>
            </w:r>
          </w:p>
        </w:tc>
      </w:tr>
      <w:tr>
        <w:tc>
          <w:tcPr>
            <w:tcW w:type="dxa" w:w="4510"/>
            <w:vAlign w:val="center"/>
          </w:tcPr>
          <w:p>
            <w:pPr>
              <w:jc w:val="center"/>
            </w:pPr>
            <w:r>
              <w:rPr>
                <w:b w:val="false"/>
                <w:bCs w:val="false"/>
                <w:color w:val="000000"/>
                <w:sz w:val="20"/>
                <w:szCs w:val="20"/>
              </w:rPr>
              <w:t xml:space="preserve">Q3</w:t>
            </w:r>
          </w:p>
        </w:tc>
        <w:tc>
          <w:tcPr>
            <w:tcW w:type="dxa" w:w="4510"/>
            <w:vAlign w:val="center"/>
          </w:tcPr>
          <w:p>
            <w:pPr>
              <w:jc w:val="center"/>
            </w:pPr>
            <w:r>
              <w:rPr>
                <w:b w:val="false"/>
                <w:bCs w:val="false"/>
                <w:color w:val="000000"/>
                <w:sz w:val="20"/>
                <w:szCs w:val="20"/>
              </w:rPr>
              <w:t xml:space="preserve">31,00</w:t>
            </w:r>
          </w:p>
        </w:tc>
      </w:tr>
      <w:tr>
        <w:tc>
          <w:tcPr>
            <w:tcW w:type="dxa" w:w="4510"/>
            <w:vAlign w:val="center"/>
          </w:tcPr>
          <w:p>
            <w:pPr>
              <w:jc w:val="center"/>
            </w:pPr>
            <w:r>
              <w:rPr>
                <w:b w:val="false"/>
                <w:bCs w:val="false"/>
                <w:color w:val="000000"/>
                <w:sz w:val="20"/>
                <w:szCs w:val="20"/>
              </w:rPr>
              <w:t xml:space="preserve">Amplitude</w:t>
            </w:r>
          </w:p>
        </w:tc>
        <w:tc>
          <w:tcPr>
            <w:tcW w:type="dxa" w:w="4510"/>
            <w:vAlign w:val="center"/>
          </w:tcPr>
          <w:p>
            <w:pPr>
              <w:jc w:val="center"/>
            </w:pPr>
            <w:r>
              <w:rPr>
                <w:b w:val="false"/>
                <w:bCs w:val="false"/>
                <w:color w:val="000000"/>
                <w:sz w:val="20"/>
                <w:szCs w:val="20"/>
              </w:rPr>
              <w:t xml:space="preserve">512,33</w:t>
            </w:r>
          </w:p>
        </w:tc>
      </w:tr>
      <w:tr>
        <w:tc>
          <w:tcPr>
            <w:tcW w:type="dxa" w:w="4510"/>
            <w:vAlign w:val="center"/>
          </w:tcPr>
          <w:p>
            <w:pPr>
              <w:jc w:val="center"/>
            </w:pPr>
            <w:r>
              <w:rPr>
                <w:b w:val="false"/>
                <w:bCs w:val="false"/>
                <w:color w:val="000000"/>
                <w:sz w:val="20"/>
                <w:szCs w:val="20"/>
              </w:rPr>
              <w:t xml:space="preserve">Amplitude interquartílica (IQR)</w:t>
            </w:r>
          </w:p>
        </w:tc>
        <w:tc>
          <w:tcPr>
            <w:tcW w:type="dxa" w:w="4510"/>
            <w:vAlign w:val="center"/>
          </w:tcPr>
          <w:p>
            <w:pPr>
              <w:jc w:val="center"/>
            </w:pPr>
            <w:r>
              <w:rPr>
                <w:b w:val="false"/>
                <w:bCs w:val="false"/>
                <w:color w:val="000000"/>
                <w:sz w:val="20"/>
                <w:szCs w:val="20"/>
              </w:rPr>
              <w:t xml:space="preserve">23,09</w:t>
            </w:r>
          </w:p>
        </w:tc>
      </w:tr>
    </w:tbl>
    <w:p>
      <w:pPr>
        <w:spacing w:after="80" w:before="150"/>
        <w:jc w:val="center"/>
      </w:pPr>
      <w:r>
        <w:drawing>
          <wp:inline distT="0" distB="0" distL="0" distR="0">
            <wp:extent cx="5238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238750" cy="2038350"/>
                    </a:xfrm>
                    <a:prstGeom prst="rect">
                      <a:avLst/>
                    </a:prstGeom>
                  </pic:spPr>
                </pic:pic>
              </a:graphicData>
            </a:graphic>
          </wp:inline>
        </w:drawing>
      </w:r>
    </w:p>
    <w:p>
      <w:pPr>
        <w:spacing w:after="300"/>
        <w:jc w:val="center"/>
      </w:pPr>
      <w:r>
        <w:rPr>
          <w:i/>
          <w:iCs/>
          <w:sz w:val="18"/>
          <w:szCs w:val="18"/>
        </w:rPr>
        <w:t xml:space="preserve">Figura 6 — Histograma e boxplot da tarifa</w:t>
      </w:r>
    </w:p>
    <w:p>
      <w:pPr>
        <w:spacing w:after="200"/>
        <w:jc w:val="both"/>
      </w:pPr>
      <w:r>
        <w:t xml:space="preserve">Ao contrário da idade, a tarifa apresenta forte assimetria: a média (32,20) é mais que o dobro da mediana (14,45). Isso acontece porque uma minoria de passageiros da 1ª classe pagou valores muito altos (até 512,33), puxando a média para cima, enquanto a maior parte da base pagou tarifas baixas, típicas da 3ª classe. O boxplot evidencia diversos outliers acima do limite superior, confirmando a presença desses valores extremos. O desvio-padrão elevado (49,69) frente à média reforça a grande dispersão dos preços pagos.</w:t>
      </w:r>
    </w:p>
    <w:p>
      <w:pPr>
        <w:pStyle w:val="Heading2"/>
        <w:spacing w:after="150" w:before="300"/>
      </w:pPr>
      <w:r>
        <w:t xml:space="preserve">4.3 SibSp (irmãos/cônjuges a bordo)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2E5266" w:val="clear"/>
            <w:vAlign w:val="center"/>
          </w:tcPr>
          <w:p>
            <w:pPr>
              <w:jc w:val="center"/>
            </w:pPr>
            <w:r>
              <w:rPr>
                <w:b/>
                <w:bCs/>
                <w:color w:val="FFFFFF"/>
                <w:sz w:val="20"/>
                <w:szCs w:val="20"/>
              </w:rPr>
              <w:t xml:space="preserve">Medida</w:t>
            </w:r>
          </w:p>
        </w:tc>
        <w:tc>
          <w:tcPr>
            <w:tcW w:type="dxa" w:w="4510"/>
            <w:shd w:fill="2E5266" w:val="clear"/>
            <w:vAlign w:val="center"/>
          </w:tcPr>
          <w:p>
            <w:pPr>
              <w:jc w:val="center"/>
            </w:pPr>
            <w:r>
              <w:rPr>
                <w:b/>
                <w:bCs/>
                <w:color w:val="FFFFFF"/>
                <w:sz w:val="20"/>
                <w:szCs w:val="20"/>
              </w:rPr>
              <w:t xml:space="preserve">Valor</w:t>
            </w:r>
          </w:p>
        </w:tc>
      </w:tr>
      <w:tr>
        <w:tc>
          <w:tcPr>
            <w:tcW w:type="dxa" w:w="4510"/>
            <w:vAlign w:val="center"/>
          </w:tcPr>
          <w:p>
            <w:pPr>
              <w:jc w:val="center"/>
            </w:pPr>
            <w:r>
              <w:rPr>
                <w:b w:val="false"/>
                <w:bCs w:val="false"/>
                <w:color w:val="000000"/>
                <w:sz w:val="20"/>
                <w:szCs w:val="20"/>
              </w:rPr>
              <w:t xml:space="preserve">Mínimo</w:t>
            </w:r>
          </w:p>
        </w:tc>
        <w:tc>
          <w:tcPr>
            <w:tcW w:type="dxa" w:w="4510"/>
            <w:vAlign w:val="center"/>
          </w:tcPr>
          <w:p>
            <w:pPr>
              <w:jc w:val="center"/>
            </w:pPr>
            <w:r>
              <w:rPr>
                <w:b w:val="false"/>
                <w:bCs w:val="false"/>
                <w:color w:val="000000"/>
                <w:sz w:val="20"/>
                <w:szCs w:val="20"/>
              </w:rPr>
              <w:t xml:space="preserve">0</w:t>
            </w:r>
          </w:p>
        </w:tc>
      </w:tr>
      <w:tr>
        <w:tc>
          <w:tcPr>
            <w:tcW w:type="dxa" w:w="4510"/>
            <w:vAlign w:val="center"/>
          </w:tcPr>
          <w:p>
            <w:pPr>
              <w:jc w:val="center"/>
            </w:pPr>
            <w:r>
              <w:rPr>
                <w:b w:val="false"/>
                <w:bCs w:val="false"/>
                <w:color w:val="000000"/>
                <w:sz w:val="20"/>
                <w:szCs w:val="20"/>
              </w:rPr>
              <w:t xml:space="preserve">Máximo</w:t>
            </w:r>
          </w:p>
        </w:tc>
        <w:tc>
          <w:tcPr>
            <w:tcW w:type="dxa" w:w="4510"/>
            <w:vAlign w:val="center"/>
          </w:tcPr>
          <w:p>
            <w:pPr>
              <w:jc w:val="center"/>
            </w:pPr>
            <w:r>
              <w:rPr>
                <w:b w:val="false"/>
                <w:bCs w:val="false"/>
                <w:color w:val="000000"/>
                <w:sz w:val="20"/>
                <w:szCs w:val="20"/>
              </w:rPr>
              <w:t xml:space="preserve">8</w:t>
            </w:r>
          </w:p>
        </w:tc>
      </w:tr>
      <w:tr>
        <w:tc>
          <w:tcPr>
            <w:tcW w:type="dxa" w:w="4510"/>
            <w:vAlign w:val="center"/>
          </w:tcPr>
          <w:p>
            <w:pPr>
              <w:jc w:val="center"/>
            </w:pPr>
            <w:r>
              <w:rPr>
                <w:b w:val="false"/>
                <w:bCs w:val="false"/>
                <w:color w:val="000000"/>
                <w:sz w:val="20"/>
                <w:szCs w:val="20"/>
              </w:rPr>
              <w:t xml:space="preserve">Média</w:t>
            </w:r>
          </w:p>
        </w:tc>
        <w:tc>
          <w:tcPr>
            <w:tcW w:type="dxa" w:w="4510"/>
            <w:vAlign w:val="center"/>
          </w:tcPr>
          <w:p>
            <w:pPr>
              <w:jc w:val="center"/>
            </w:pPr>
            <w:r>
              <w:rPr>
                <w:b w:val="false"/>
                <w:bCs w:val="false"/>
                <w:color w:val="000000"/>
                <w:sz w:val="20"/>
                <w:szCs w:val="20"/>
              </w:rPr>
              <w:t xml:space="preserve">0,52</w:t>
            </w:r>
          </w:p>
        </w:tc>
      </w:tr>
      <w:tr>
        <w:tc>
          <w:tcPr>
            <w:tcW w:type="dxa" w:w="4510"/>
            <w:vAlign w:val="center"/>
          </w:tcPr>
          <w:p>
            <w:pPr>
              <w:jc w:val="center"/>
            </w:pPr>
            <w:r>
              <w:rPr>
                <w:b w:val="false"/>
                <w:bCs w:val="false"/>
                <w:color w:val="000000"/>
                <w:sz w:val="20"/>
                <w:szCs w:val="20"/>
              </w:rPr>
              <w:t xml:space="preserve">Mediana (Q2)</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Moda</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Variância</w:t>
            </w:r>
          </w:p>
        </w:tc>
        <w:tc>
          <w:tcPr>
            <w:tcW w:type="dxa" w:w="4510"/>
            <w:vAlign w:val="center"/>
          </w:tcPr>
          <w:p>
            <w:pPr>
              <w:jc w:val="center"/>
            </w:pPr>
            <w:r>
              <w:rPr>
                <w:b w:val="false"/>
                <w:bCs w:val="false"/>
                <w:color w:val="000000"/>
                <w:sz w:val="20"/>
                <w:szCs w:val="20"/>
              </w:rPr>
              <w:t xml:space="preserve">1,22</w:t>
            </w:r>
          </w:p>
        </w:tc>
      </w:tr>
      <w:tr>
        <w:tc>
          <w:tcPr>
            <w:tcW w:type="dxa" w:w="4510"/>
            <w:vAlign w:val="center"/>
          </w:tcPr>
          <w:p>
            <w:pPr>
              <w:jc w:val="center"/>
            </w:pPr>
            <w:r>
              <w:rPr>
                <w:b w:val="false"/>
                <w:bCs w:val="false"/>
                <w:color w:val="000000"/>
                <w:sz w:val="20"/>
                <w:szCs w:val="20"/>
              </w:rPr>
              <w:t xml:space="preserve">Desvio-padrão</w:t>
            </w:r>
          </w:p>
        </w:tc>
        <w:tc>
          <w:tcPr>
            <w:tcW w:type="dxa" w:w="4510"/>
            <w:vAlign w:val="center"/>
          </w:tcPr>
          <w:p>
            <w:pPr>
              <w:jc w:val="center"/>
            </w:pPr>
            <w:r>
              <w:rPr>
                <w:b w:val="false"/>
                <w:bCs w:val="false"/>
                <w:color w:val="000000"/>
                <w:sz w:val="20"/>
                <w:szCs w:val="20"/>
              </w:rPr>
              <w:t xml:space="preserve">1,10</w:t>
            </w:r>
          </w:p>
        </w:tc>
      </w:tr>
      <w:tr>
        <w:tc>
          <w:tcPr>
            <w:tcW w:type="dxa" w:w="4510"/>
            <w:vAlign w:val="center"/>
          </w:tcPr>
          <w:p>
            <w:pPr>
              <w:jc w:val="center"/>
            </w:pPr>
            <w:r>
              <w:rPr>
                <w:b w:val="false"/>
                <w:bCs w:val="false"/>
                <w:color w:val="000000"/>
                <w:sz w:val="20"/>
                <w:szCs w:val="20"/>
              </w:rPr>
              <w:t xml:space="preserve">Q1</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Q3</w:t>
            </w:r>
          </w:p>
        </w:tc>
        <w:tc>
          <w:tcPr>
            <w:tcW w:type="dxa" w:w="4510"/>
            <w:vAlign w:val="center"/>
          </w:tcPr>
          <w:p>
            <w:pPr>
              <w:jc w:val="center"/>
            </w:pPr>
            <w:r>
              <w:rPr>
                <w:b w:val="false"/>
                <w:bCs w:val="false"/>
                <w:color w:val="000000"/>
                <w:sz w:val="20"/>
                <w:szCs w:val="20"/>
              </w:rPr>
              <w:t xml:space="preserve">1,00</w:t>
            </w:r>
          </w:p>
        </w:tc>
      </w:tr>
      <w:tr>
        <w:tc>
          <w:tcPr>
            <w:tcW w:type="dxa" w:w="4510"/>
            <w:vAlign w:val="center"/>
          </w:tcPr>
          <w:p>
            <w:pPr>
              <w:jc w:val="center"/>
            </w:pPr>
            <w:r>
              <w:rPr>
                <w:b w:val="false"/>
                <w:bCs w:val="false"/>
                <w:color w:val="000000"/>
                <w:sz w:val="20"/>
                <w:szCs w:val="20"/>
              </w:rPr>
              <w:t xml:space="preserve">Amplitude</w:t>
            </w:r>
          </w:p>
        </w:tc>
        <w:tc>
          <w:tcPr>
            <w:tcW w:type="dxa" w:w="4510"/>
            <w:vAlign w:val="center"/>
          </w:tcPr>
          <w:p>
            <w:pPr>
              <w:jc w:val="center"/>
            </w:pPr>
            <w:r>
              <w:rPr>
                <w:b w:val="false"/>
                <w:bCs w:val="false"/>
                <w:color w:val="000000"/>
                <w:sz w:val="20"/>
                <w:szCs w:val="20"/>
              </w:rPr>
              <w:t xml:space="preserve">8,00</w:t>
            </w:r>
          </w:p>
        </w:tc>
      </w:tr>
      <w:tr>
        <w:tc>
          <w:tcPr>
            <w:tcW w:type="dxa" w:w="4510"/>
            <w:vAlign w:val="center"/>
          </w:tcPr>
          <w:p>
            <w:pPr>
              <w:jc w:val="center"/>
            </w:pPr>
            <w:r>
              <w:rPr>
                <w:b w:val="false"/>
                <w:bCs w:val="false"/>
                <w:color w:val="000000"/>
                <w:sz w:val="20"/>
                <w:szCs w:val="20"/>
              </w:rPr>
              <w:t xml:space="preserve">Amplitude interquartílica (IQR)</w:t>
            </w:r>
          </w:p>
        </w:tc>
        <w:tc>
          <w:tcPr>
            <w:tcW w:type="dxa" w:w="4510"/>
            <w:vAlign w:val="center"/>
          </w:tcPr>
          <w:p>
            <w:pPr>
              <w:jc w:val="center"/>
            </w:pPr>
            <w:r>
              <w:rPr>
                <w:b w:val="false"/>
                <w:bCs w:val="false"/>
                <w:color w:val="000000"/>
                <w:sz w:val="20"/>
                <w:szCs w:val="20"/>
              </w:rPr>
              <w:t xml:space="preserve">1,00</w:t>
            </w:r>
          </w:p>
        </w:tc>
      </w:tr>
    </w:tbl>
    <w:p>
      <w:pPr>
        <w:spacing w:after="80" w:before="150"/>
        <w:jc w:val="center"/>
      </w:pPr>
      <w:r>
        <w:drawing>
          <wp:inline distT="0" distB="0" distL="0" distR="0">
            <wp:extent cx="5238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238750" cy="2038350"/>
                    </a:xfrm>
                    <a:prstGeom prst="rect">
                      <a:avLst/>
                    </a:prstGeom>
                  </pic:spPr>
                </pic:pic>
              </a:graphicData>
            </a:graphic>
          </wp:inline>
        </w:drawing>
      </w:r>
    </w:p>
    <w:p>
      <w:pPr>
        <w:spacing w:after="300"/>
        <w:jc w:val="center"/>
      </w:pPr>
      <w:r>
        <w:rPr>
          <w:i/>
          <w:iCs/>
          <w:sz w:val="18"/>
          <w:szCs w:val="18"/>
        </w:rPr>
        <w:t xml:space="preserve">Figura 7 — Histograma e boxplot de SibSp</w:t>
      </w:r>
    </w:p>
    <w:p>
      <w:pPr>
        <w:spacing w:after="200"/>
        <w:jc w:val="both"/>
      </w:pPr>
      <w:r>
        <w:t xml:space="preserve">A mediana e a moda iguais a zero mostram que a maioria dos passageiros viajava sem irmãos ou cônjuges a bordo. O valor máximo de 8 indica a presença de ao menos uma família muito numerosa na base.</w:t>
      </w:r>
    </w:p>
    <w:p>
      <w:pPr>
        <w:pStyle w:val="Heading2"/>
        <w:spacing w:after="150" w:before="300"/>
      </w:pPr>
      <w:r>
        <w:t xml:space="preserve">4.4 Parch (pais/filhos a bordo)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510"/>
        <w:gridCol w:w="4510"/>
      </w:tblGrid>
      <w:tr>
        <w:trPr>
          <w:tblHeader/>
        </w:trPr>
        <w:tc>
          <w:tcPr>
            <w:tcW w:type="dxa" w:w="4510"/>
            <w:shd w:fill="2E5266" w:val="clear"/>
            <w:vAlign w:val="center"/>
          </w:tcPr>
          <w:p>
            <w:pPr>
              <w:jc w:val="center"/>
            </w:pPr>
            <w:r>
              <w:rPr>
                <w:b/>
                <w:bCs/>
                <w:color w:val="FFFFFF"/>
                <w:sz w:val="20"/>
                <w:szCs w:val="20"/>
              </w:rPr>
              <w:t xml:space="preserve">Medida</w:t>
            </w:r>
          </w:p>
        </w:tc>
        <w:tc>
          <w:tcPr>
            <w:tcW w:type="dxa" w:w="4510"/>
            <w:shd w:fill="2E5266" w:val="clear"/>
            <w:vAlign w:val="center"/>
          </w:tcPr>
          <w:p>
            <w:pPr>
              <w:jc w:val="center"/>
            </w:pPr>
            <w:r>
              <w:rPr>
                <w:b/>
                <w:bCs/>
                <w:color w:val="FFFFFF"/>
                <w:sz w:val="20"/>
                <w:szCs w:val="20"/>
              </w:rPr>
              <w:t xml:space="preserve">Valor</w:t>
            </w:r>
          </w:p>
        </w:tc>
      </w:tr>
      <w:tr>
        <w:tc>
          <w:tcPr>
            <w:tcW w:type="dxa" w:w="4510"/>
            <w:vAlign w:val="center"/>
          </w:tcPr>
          <w:p>
            <w:pPr>
              <w:jc w:val="center"/>
            </w:pPr>
            <w:r>
              <w:rPr>
                <w:b w:val="false"/>
                <w:bCs w:val="false"/>
                <w:color w:val="000000"/>
                <w:sz w:val="20"/>
                <w:szCs w:val="20"/>
              </w:rPr>
              <w:t xml:space="preserve">Mínimo</w:t>
            </w:r>
          </w:p>
        </w:tc>
        <w:tc>
          <w:tcPr>
            <w:tcW w:type="dxa" w:w="4510"/>
            <w:vAlign w:val="center"/>
          </w:tcPr>
          <w:p>
            <w:pPr>
              <w:jc w:val="center"/>
            </w:pPr>
            <w:r>
              <w:rPr>
                <w:b w:val="false"/>
                <w:bCs w:val="false"/>
                <w:color w:val="000000"/>
                <w:sz w:val="20"/>
                <w:szCs w:val="20"/>
              </w:rPr>
              <w:t xml:space="preserve">0</w:t>
            </w:r>
          </w:p>
        </w:tc>
      </w:tr>
      <w:tr>
        <w:tc>
          <w:tcPr>
            <w:tcW w:type="dxa" w:w="4510"/>
            <w:vAlign w:val="center"/>
          </w:tcPr>
          <w:p>
            <w:pPr>
              <w:jc w:val="center"/>
            </w:pPr>
            <w:r>
              <w:rPr>
                <w:b w:val="false"/>
                <w:bCs w:val="false"/>
                <w:color w:val="000000"/>
                <w:sz w:val="20"/>
                <w:szCs w:val="20"/>
              </w:rPr>
              <w:t xml:space="preserve">Máximo</w:t>
            </w:r>
          </w:p>
        </w:tc>
        <w:tc>
          <w:tcPr>
            <w:tcW w:type="dxa" w:w="4510"/>
            <w:vAlign w:val="center"/>
          </w:tcPr>
          <w:p>
            <w:pPr>
              <w:jc w:val="center"/>
            </w:pPr>
            <w:r>
              <w:rPr>
                <w:b w:val="false"/>
                <w:bCs w:val="false"/>
                <w:color w:val="000000"/>
                <w:sz w:val="20"/>
                <w:szCs w:val="20"/>
              </w:rPr>
              <w:t xml:space="preserve">6</w:t>
            </w:r>
          </w:p>
        </w:tc>
      </w:tr>
      <w:tr>
        <w:tc>
          <w:tcPr>
            <w:tcW w:type="dxa" w:w="4510"/>
            <w:vAlign w:val="center"/>
          </w:tcPr>
          <w:p>
            <w:pPr>
              <w:jc w:val="center"/>
            </w:pPr>
            <w:r>
              <w:rPr>
                <w:b w:val="false"/>
                <w:bCs w:val="false"/>
                <w:color w:val="000000"/>
                <w:sz w:val="20"/>
                <w:szCs w:val="20"/>
              </w:rPr>
              <w:t xml:space="preserve">Média</w:t>
            </w:r>
          </w:p>
        </w:tc>
        <w:tc>
          <w:tcPr>
            <w:tcW w:type="dxa" w:w="4510"/>
            <w:vAlign w:val="center"/>
          </w:tcPr>
          <w:p>
            <w:pPr>
              <w:jc w:val="center"/>
            </w:pPr>
            <w:r>
              <w:rPr>
                <w:b w:val="false"/>
                <w:bCs w:val="false"/>
                <w:color w:val="000000"/>
                <w:sz w:val="20"/>
                <w:szCs w:val="20"/>
              </w:rPr>
              <w:t xml:space="preserve">0,38</w:t>
            </w:r>
          </w:p>
        </w:tc>
      </w:tr>
      <w:tr>
        <w:tc>
          <w:tcPr>
            <w:tcW w:type="dxa" w:w="4510"/>
            <w:vAlign w:val="center"/>
          </w:tcPr>
          <w:p>
            <w:pPr>
              <w:jc w:val="center"/>
            </w:pPr>
            <w:r>
              <w:rPr>
                <w:b w:val="false"/>
                <w:bCs w:val="false"/>
                <w:color w:val="000000"/>
                <w:sz w:val="20"/>
                <w:szCs w:val="20"/>
              </w:rPr>
              <w:t xml:space="preserve">Mediana (Q2)</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Moda</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Variância</w:t>
            </w:r>
          </w:p>
        </w:tc>
        <w:tc>
          <w:tcPr>
            <w:tcW w:type="dxa" w:w="4510"/>
            <w:vAlign w:val="center"/>
          </w:tcPr>
          <w:p>
            <w:pPr>
              <w:jc w:val="center"/>
            </w:pPr>
            <w:r>
              <w:rPr>
                <w:b w:val="false"/>
                <w:bCs w:val="false"/>
                <w:color w:val="000000"/>
                <w:sz w:val="20"/>
                <w:szCs w:val="20"/>
              </w:rPr>
              <w:t xml:space="preserve">0,65</w:t>
            </w:r>
          </w:p>
        </w:tc>
      </w:tr>
      <w:tr>
        <w:tc>
          <w:tcPr>
            <w:tcW w:type="dxa" w:w="4510"/>
            <w:vAlign w:val="center"/>
          </w:tcPr>
          <w:p>
            <w:pPr>
              <w:jc w:val="center"/>
            </w:pPr>
            <w:r>
              <w:rPr>
                <w:b w:val="false"/>
                <w:bCs w:val="false"/>
                <w:color w:val="000000"/>
                <w:sz w:val="20"/>
                <w:szCs w:val="20"/>
              </w:rPr>
              <w:t xml:space="preserve">Desvio-padrão</w:t>
            </w:r>
          </w:p>
        </w:tc>
        <w:tc>
          <w:tcPr>
            <w:tcW w:type="dxa" w:w="4510"/>
            <w:vAlign w:val="center"/>
          </w:tcPr>
          <w:p>
            <w:pPr>
              <w:jc w:val="center"/>
            </w:pPr>
            <w:r>
              <w:rPr>
                <w:b w:val="false"/>
                <w:bCs w:val="false"/>
                <w:color w:val="000000"/>
                <w:sz w:val="20"/>
                <w:szCs w:val="20"/>
              </w:rPr>
              <w:t xml:space="preserve">0,81</w:t>
            </w:r>
          </w:p>
        </w:tc>
      </w:tr>
      <w:tr>
        <w:tc>
          <w:tcPr>
            <w:tcW w:type="dxa" w:w="4510"/>
            <w:vAlign w:val="center"/>
          </w:tcPr>
          <w:p>
            <w:pPr>
              <w:jc w:val="center"/>
            </w:pPr>
            <w:r>
              <w:rPr>
                <w:b w:val="false"/>
                <w:bCs w:val="false"/>
                <w:color w:val="000000"/>
                <w:sz w:val="20"/>
                <w:szCs w:val="20"/>
              </w:rPr>
              <w:t xml:space="preserve">Q1</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Q3</w:t>
            </w:r>
          </w:p>
        </w:tc>
        <w:tc>
          <w:tcPr>
            <w:tcW w:type="dxa" w:w="4510"/>
            <w:vAlign w:val="center"/>
          </w:tcPr>
          <w:p>
            <w:pPr>
              <w:jc w:val="center"/>
            </w:pPr>
            <w:r>
              <w:rPr>
                <w:b w:val="false"/>
                <w:bCs w:val="false"/>
                <w:color w:val="000000"/>
                <w:sz w:val="20"/>
                <w:szCs w:val="20"/>
              </w:rPr>
              <w:t xml:space="preserve">0,00</w:t>
            </w:r>
          </w:p>
        </w:tc>
      </w:tr>
      <w:tr>
        <w:tc>
          <w:tcPr>
            <w:tcW w:type="dxa" w:w="4510"/>
            <w:vAlign w:val="center"/>
          </w:tcPr>
          <w:p>
            <w:pPr>
              <w:jc w:val="center"/>
            </w:pPr>
            <w:r>
              <w:rPr>
                <w:b w:val="false"/>
                <w:bCs w:val="false"/>
                <w:color w:val="000000"/>
                <w:sz w:val="20"/>
                <w:szCs w:val="20"/>
              </w:rPr>
              <w:t xml:space="preserve">Amplitude</w:t>
            </w:r>
          </w:p>
        </w:tc>
        <w:tc>
          <w:tcPr>
            <w:tcW w:type="dxa" w:w="4510"/>
            <w:vAlign w:val="center"/>
          </w:tcPr>
          <w:p>
            <w:pPr>
              <w:jc w:val="center"/>
            </w:pPr>
            <w:r>
              <w:rPr>
                <w:b w:val="false"/>
                <w:bCs w:val="false"/>
                <w:color w:val="000000"/>
                <w:sz w:val="20"/>
                <w:szCs w:val="20"/>
              </w:rPr>
              <w:t xml:space="preserve">6,00</w:t>
            </w:r>
          </w:p>
        </w:tc>
      </w:tr>
      <w:tr>
        <w:tc>
          <w:tcPr>
            <w:tcW w:type="dxa" w:w="4510"/>
            <w:vAlign w:val="center"/>
          </w:tcPr>
          <w:p>
            <w:pPr>
              <w:jc w:val="center"/>
            </w:pPr>
            <w:r>
              <w:rPr>
                <w:b w:val="false"/>
                <w:bCs w:val="false"/>
                <w:color w:val="000000"/>
                <w:sz w:val="20"/>
                <w:szCs w:val="20"/>
              </w:rPr>
              <w:t xml:space="preserve">Amplitude interquartílica (IQR)</w:t>
            </w:r>
          </w:p>
        </w:tc>
        <w:tc>
          <w:tcPr>
            <w:tcW w:type="dxa" w:w="4510"/>
            <w:vAlign w:val="center"/>
          </w:tcPr>
          <w:p>
            <w:pPr>
              <w:jc w:val="center"/>
            </w:pPr>
            <w:r>
              <w:rPr>
                <w:b w:val="false"/>
                <w:bCs w:val="false"/>
                <w:color w:val="000000"/>
                <w:sz w:val="20"/>
                <w:szCs w:val="20"/>
              </w:rPr>
              <w:t xml:space="preserve">0,00</w:t>
            </w:r>
          </w:p>
        </w:tc>
      </w:tr>
    </w:tbl>
    <w:p>
      <w:pPr>
        <w:spacing w:after="80" w:before="150"/>
        <w:jc w:val="center"/>
      </w:pPr>
      <w:r>
        <w:drawing>
          <wp:inline distT="0" distB="0" distL="0" distR="0">
            <wp:extent cx="523875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238750" cy="2038350"/>
                    </a:xfrm>
                    <a:prstGeom prst="rect">
                      <a:avLst/>
                    </a:prstGeom>
                  </pic:spPr>
                </pic:pic>
              </a:graphicData>
            </a:graphic>
          </wp:inline>
        </w:drawing>
      </w:r>
    </w:p>
    <w:p>
      <w:pPr>
        <w:spacing w:after="300"/>
        <w:jc w:val="center"/>
      </w:pPr>
      <w:r>
        <w:rPr>
          <w:i/>
          <w:iCs/>
          <w:sz w:val="18"/>
          <w:szCs w:val="18"/>
        </w:rPr>
        <w:t xml:space="preserve">Figura 8 — Histograma e boxplot de Parch</w:t>
      </w:r>
    </w:p>
    <w:p>
      <w:pPr>
        <w:spacing w:after="200"/>
        <w:jc w:val="both"/>
      </w:pPr>
      <w:r>
        <w:t xml:space="preserve">Assim como em SibSp, a mediana zero indica que a maior parte dos passageiros viajava sem pais ou filhos a bordo, reforçando que grande parte do público era formada por adultos viajando sozinhos ou em casal.</w:t>
      </w:r>
    </w:p>
    <w:p>
      <w:r>
        <w:br w:type="page"/>
      </w:r>
    </w:p>
    <w:p>
      <w:pPr>
        <w:pStyle w:val="Heading1"/>
        <w:spacing w:after="200" w:before="400"/>
      </w:pPr>
      <w:r>
        <w:t xml:space="preserve">5. Comparação entre grupos</w:t>
      </w:r>
    </w:p>
    <w:p>
      <w:pPr>
        <w:pStyle w:val="Heading2"/>
        <w:spacing w:after="150" w:before="300"/>
      </w:pPr>
      <w:r>
        <w:t xml:space="preserve">5.1 Idade: Homens x Mulheres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rPr>
          <w:tblHeader/>
        </w:trPr>
        <w:tc>
          <w:tcPr>
            <w:tcW w:type="dxa" w:w="2255"/>
            <w:shd w:fill="2E5266" w:val="clear"/>
            <w:vAlign w:val="center"/>
          </w:tcPr>
          <w:p>
            <w:pPr>
              <w:jc w:val="center"/>
            </w:pPr>
            <w:r>
              <w:rPr>
                <w:b/>
                <w:bCs/>
                <w:color w:val="FFFFFF"/>
                <w:sz w:val="20"/>
                <w:szCs w:val="20"/>
              </w:rPr>
              <w:t xml:space="preserve">Grupo</w:t>
            </w:r>
          </w:p>
        </w:tc>
        <w:tc>
          <w:tcPr>
            <w:tcW w:type="dxa" w:w="2255"/>
            <w:shd w:fill="2E5266" w:val="clear"/>
            <w:vAlign w:val="center"/>
          </w:tcPr>
          <w:p>
            <w:pPr>
              <w:jc w:val="center"/>
            </w:pPr>
            <w:r>
              <w:rPr>
                <w:b/>
                <w:bCs/>
                <w:color w:val="FFFFFF"/>
                <w:sz w:val="20"/>
                <w:szCs w:val="20"/>
              </w:rPr>
              <w:t xml:space="preserve">Média</w:t>
            </w:r>
          </w:p>
        </w:tc>
        <w:tc>
          <w:tcPr>
            <w:tcW w:type="dxa" w:w="2255"/>
            <w:shd w:fill="2E5266" w:val="clear"/>
            <w:vAlign w:val="center"/>
          </w:tcPr>
          <w:p>
            <w:pPr>
              <w:jc w:val="center"/>
            </w:pPr>
            <w:r>
              <w:rPr>
                <w:b/>
                <w:bCs/>
                <w:color w:val="FFFFFF"/>
                <w:sz w:val="20"/>
                <w:szCs w:val="20"/>
              </w:rPr>
              <w:t xml:space="preserve">Desvio-padrão</w:t>
            </w:r>
          </w:p>
        </w:tc>
        <w:tc>
          <w:tcPr>
            <w:tcW w:type="dxa" w:w="2255"/>
            <w:shd w:fill="2E5266" w:val="clear"/>
            <w:vAlign w:val="center"/>
          </w:tcPr>
          <w:p>
            <w:pPr>
              <w:jc w:val="center"/>
            </w:pPr>
            <w:r>
              <w:rPr>
                <w:b/>
                <w:bCs/>
                <w:color w:val="FFFFFF"/>
                <w:sz w:val="20"/>
                <w:szCs w:val="20"/>
              </w:rPr>
              <w:t xml:space="preserve">Mediana</w:t>
            </w:r>
          </w:p>
        </w:tc>
      </w:tr>
      <w:tr>
        <w:tc>
          <w:tcPr>
            <w:tcW w:type="dxa" w:w="2255"/>
            <w:vAlign w:val="center"/>
          </w:tcPr>
          <w:p>
            <w:pPr>
              <w:jc w:val="center"/>
            </w:pPr>
            <w:r>
              <w:rPr>
                <w:b w:val="false"/>
                <w:bCs w:val="false"/>
                <w:color w:val="000000"/>
                <w:sz w:val="20"/>
                <w:szCs w:val="20"/>
              </w:rPr>
              <w:t xml:space="preserve">Mulheres</w:t>
            </w:r>
          </w:p>
        </w:tc>
        <w:tc>
          <w:tcPr>
            <w:tcW w:type="dxa" w:w="2255"/>
            <w:vAlign w:val="center"/>
          </w:tcPr>
          <w:p>
            <w:pPr>
              <w:jc w:val="center"/>
            </w:pPr>
            <w:r>
              <w:rPr>
                <w:b w:val="false"/>
                <w:bCs w:val="false"/>
                <w:color w:val="000000"/>
                <w:sz w:val="20"/>
                <w:szCs w:val="20"/>
              </w:rPr>
              <w:t xml:space="preserve">27,93</w:t>
            </w:r>
          </w:p>
        </w:tc>
        <w:tc>
          <w:tcPr>
            <w:tcW w:type="dxa" w:w="2255"/>
            <w:vAlign w:val="center"/>
          </w:tcPr>
          <w:p>
            <w:pPr>
              <w:jc w:val="center"/>
            </w:pPr>
            <w:r>
              <w:rPr>
                <w:b w:val="false"/>
                <w:bCs w:val="false"/>
                <w:color w:val="000000"/>
                <w:sz w:val="20"/>
                <w:szCs w:val="20"/>
              </w:rPr>
              <w:t xml:space="preserve">12,86</w:t>
            </w:r>
          </w:p>
        </w:tc>
        <w:tc>
          <w:tcPr>
            <w:tcW w:type="dxa" w:w="2255"/>
            <w:vAlign w:val="center"/>
          </w:tcPr>
          <w:p>
            <w:pPr>
              <w:jc w:val="center"/>
            </w:pPr>
            <w:r>
              <w:rPr>
                <w:b w:val="false"/>
                <w:bCs w:val="false"/>
                <w:color w:val="000000"/>
                <w:sz w:val="20"/>
                <w:szCs w:val="20"/>
              </w:rPr>
              <w:t xml:space="preserve">28,00</w:t>
            </w:r>
          </w:p>
        </w:tc>
      </w:tr>
      <w:tr>
        <w:tc>
          <w:tcPr>
            <w:tcW w:type="dxa" w:w="2255"/>
            <w:vAlign w:val="center"/>
          </w:tcPr>
          <w:p>
            <w:pPr>
              <w:jc w:val="center"/>
            </w:pPr>
            <w:r>
              <w:rPr>
                <w:b w:val="false"/>
                <w:bCs w:val="false"/>
                <w:color w:val="000000"/>
                <w:sz w:val="20"/>
                <w:szCs w:val="20"/>
              </w:rPr>
              <w:t xml:space="preserve">Homens</w:t>
            </w:r>
          </w:p>
        </w:tc>
        <w:tc>
          <w:tcPr>
            <w:tcW w:type="dxa" w:w="2255"/>
            <w:vAlign w:val="center"/>
          </w:tcPr>
          <w:p>
            <w:pPr>
              <w:jc w:val="center"/>
            </w:pPr>
            <w:r>
              <w:rPr>
                <w:b w:val="false"/>
                <w:bCs w:val="false"/>
                <w:color w:val="000000"/>
                <w:sz w:val="20"/>
                <w:szCs w:val="20"/>
              </w:rPr>
              <w:t xml:space="preserve">30,14</w:t>
            </w:r>
          </w:p>
        </w:tc>
        <w:tc>
          <w:tcPr>
            <w:tcW w:type="dxa" w:w="2255"/>
            <w:vAlign w:val="center"/>
          </w:tcPr>
          <w:p>
            <w:pPr>
              <w:jc w:val="center"/>
            </w:pPr>
            <w:r>
              <w:rPr>
                <w:b w:val="false"/>
                <w:bCs w:val="false"/>
                <w:color w:val="000000"/>
                <w:sz w:val="20"/>
                <w:szCs w:val="20"/>
              </w:rPr>
              <w:t xml:space="preserve">13,05</w:t>
            </w:r>
          </w:p>
        </w:tc>
        <w:tc>
          <w:tcPr>
            <w:tcW w:type="dxa" w:w="2255"/>
            <w:vAlign w:val="center"/>
          </w:tcPr>
          <w:p>
            <w:pPr>
              <w:jc w:val="center"/>
            </w:pPr>
            <w:r>
              <w:rPr>
                <w:b w:val="false"/>
                <w:bCs w:val="false"/>
                <w:color w:val="000000"/>
                <w:sz w:val="20"/>
                <w:szCs w:val="20"/>
              </w:rPr>
              <w:t xml:space="preserve">28,00</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9 — Idade por sexo</w:t>
      </w:r>
    </w:p>
    <w:p>
      <w:pPr>
        <w:spacing w:after="200"/>
        <w:jc w:val="both"/>
      </w:pPr>
      <w:r>
        <w:t xml:space="preserve">A diferença de idade média entre homens (30,14) e mulheres (27,93) é pequena — cerca de 2 anos — e a mediana é idêntica entre os grupos (28 anos). Isso sugere que a idade não distinguia claramente os sexos a bordo; a diferença observada nas taxas de sobrevivência (ver seção 5.4) não pode ser explicada pela idade.</w:t>
      </w:r>
    </w:p>
    <w:p>
      <w:pPr>
        <w:pStyle w:val="Heading2"/>
        <w:spacing w:after="150" w:before="300"/>
      </w:pPr>
      <w:r>
        <w:t xml:space="preserve">5.2 Idade: Sobreviventes x Não sobreviventes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rPr>
          <w:tblHeader/>
        </w:trPr>
        <w:tc>
          <w:tcPr>
            <w:tcW w:type="dxa" w:w="2255"/>
            <w:shd w:fill="2E5266" w:val="clear"/>
            <w:vAlign w:val="center"/>
          </w:tcPr>
          <w:p>
            <w:pPr>
              <w:jc w:val="center"/>
            </w:pPr>
            <w:r>
              <w:rPr>
                <w:b/>
                <w:bCs/>
                <w:color w:val="FFFFFF"/>
                <w:sz w:val="20"/>
                <w:szCs w:val="20"/>
              </w:rPr>
              <w:t xml:space="preserve">Grupo</w:t>
            </w:r>
          </w:p>
        </w:tc>
        <w:tc>
          <w:tcPr>
            <w:tcW w:type="dxa" w:w="2255"/>
            <w:shd w:fill="2E5266" w:val="clear"/>
            <w:vAlign w:val="center"/>
          </w:tcPr>
          <w:p>
            <w:pPr>
              <w:jc w:val="center"/>
            </w:pPr>
            <w:r>
              <w:rPr>
                <w:b/>
                <w:bCs/>
                <w:color w:val="FFFFFF"/>
                <w:sz w:val="20"/>
                <w:szCs w:val="20"/>
              </w:rPr>
              <w:t xml:space="preserve">Média</w:t>
            </w:r>
          </w:p>
        </w:tc>
        <w:tc>
          <w:tcPr>
            <w:tcW w:type="dxa" w:w="2255"/>
            <w:shd w:fill="2E5266" w:val="clear"/>
            <w:vAlign w:val="center"/>
          </w:tcPr>
          <w:p>
            <w:pPr>
              <w:jc w:val="center"/>
            </w:pPr>
            <w:r>
              <w:rPr>
                <w:b/>
                <w:bCs/>
                <w:color w:val="FFFFFF"/>
                <w:sz w:val="20"/>
                <w:szCs w:val="20"/>
              </w:rPr>
              <w:t xml:space="preserve">Desvio-padrão</w:t>
            </w:r>
          </w:p>
        </w:tc>
        <w:tc>
          <w:tcPr>
            <w:tcW w:type="dxa" w:w="2255"/>
            <w:shd w:fill="2E5266" w:val="clear"/>
            <w:vAlign w:val="center"/>
          </w:tcPr>
          <w:p>
            <w:pPr>
              <w:jc w:val="center"/>
            </w:pPr>
            <w:r>
              <w:rPr>
                <w:b/>
                <w:bCs/>
                <w:color w:val="FFFFFF"/>
                <w:sz w:val="20"/>
                <w:szCs w:val="20"/>
              </w:rPr>
              <w:t xml:space="preserve">Mediana</w:t>
            </w:r>
          </w:p>
        </w:tc>
      </w:tr>
      <w:tr>
        <w:tc>
          <w:tcPr>
            <w:tcW w:type="dxa" w:w="2255"/>
            <w:vAlign w:val="center"/>
          </w:tcPr>
          <w:p>
            <w:pPr>
              <w:jc w:val="center"/>
            </w:pPr>
            <w:r>
              <w:rPr>
                <w:b w:val="false"/>
                <w:bCs w:val="false"/>
                <w:color w:val="000000"/>
                <w:sz w:val="20"/>
                <w:szCs w:val="20"/>
              </w:rPr>
              <w:t xml:space="preserve">Não sobreviveu</w:t>
            </w:r>
          </w:p>
        </w:tc>
        <w:tc>
          <w:tcPr>
            <w:tcW w:type="dxa" w:w="2255"/>
            <w:vAlign w:val="center"/>
          </w:tcPr>
          <w:p>
            <w:pPr>
              <w:jc w:val="center"/>
            </w:pPr>
            <w:r>
              <w:rPr>
                <w:b w:val="false"/>
                <w:bCs w:val="false"/>
                <w:color w:val="000000"/>
                <w:sz w:val="20"/>
                <w:szCs w:val="20"/>
              </w:rPr>
              <w:t xml:space="preserve">30,03</w:t>
            </w:r>
          </w:p>
        </w:tc>
        <w:tc>
          <w:tcPr>
            <w:tcW w:type="dxa" w:w="2255"/>
            <w:vAlign w:val="center"/>
          </w:tcPr>
          <w:p>
            <w:pPr>
              <w:jc w:val="center"/>
            </w:pPr>
            <w:r>
              <w:rPr>
                <w:b w:val="false"/>
                <w:bCs w:val="false"/>
                <w:color w:val="000000"/>
                <w:sz w:val="20"/>
                <w:szCs w:val="20"/>
              </w:rPr>
              <w:t xml:space="preserve">12,50</w:t>
            </w:r>
          </w:p>
        </w:tc>
        <w:tc>
          <w:tcPr>
            <w:tcW w:type="dxa" w:w="2255"/>
            <w:vAlign w:val="center"/>
          </w:tcPr>
          <w:p>
            <w:pPr>
              <w:jc w:val="center"/>
            </w:pPr>
            <w:r>
              <w:rPr>
                <w:b w:val="false"/>
                <w:bCs w:val="false"/>
                <w:color w:val="000000"/>
                <w:sz w:val="20"/>
                <w:szCs w:val="20"/>
              </w:rPr>
              <w:t xml:space="preserve">28,00</w:t>
            </w:r>
          </w:p>
        </w:tc>
      </w:tr>
      <w:tr>
        <w:tc>
          <w:tcPr>
            <w:tcW w:type="dxa" w:w="2255"/>
            <w:vAlign w:val="center"/>
          </w:tcPr>
          <w:p>
            <w:pPr>
              <w:jc w:val="center"/>
            </w:pPr>
            <w:r>
              <w:rPr>
                <w:b w:val="false"/>
                <w:bCs w:val="false"/>
                <w:color w:val="000000"/>
                <w:sz w:val="20"/>
                <w:szCs w:val="20"/>
              </w:rPr>
              <w:t xml:space="preserve">Sobreviveu</w:t>
            </w:r>
          </w:p>
        </w:tc>
        <w:tc>
          <w:tcPr>
            <w:tcW w:type="dxa" w:w="2255"/>
            <w:vAlign w:val="center"/>
          </w:tcPr>
          <w:p>
            <w:pPr>
              <w:jc w:val="center"/>
            </w:pPr>
            <w:r>
              <w:rPr>
                <w:b w:val="false"/>
                <w:bCs w:val="false"/>
                <w:color w:val="000000"/>
                <w:sz w:val="20"/>
                <w:szCs w:val="20"/>
              </w:rPr>
              <w:t xml:space="preserve">28,29</w:t>
            </w:r>
          </w:p>
        </w:tc>
        <w:tc>
          <w:tcPr>
            <w:tcW w:type="dxa" w:w="2255"/>
            <w:vAlign w:val="center"/>
          </w:tcPr>
          <w:p>
            <w:pPr>
              <w:jc w:val="center"/>
            </w:pPr>
            <w:r>
              <w:rPr>
                <w:b w:val="false"/>
                <w:bCs w:val="false"/>
                <w:color w:val="000000"/>
                <w:sz w:val="20"/>
                <w:szCs w:val="20"/>
              </w:rPr>
              <w:t xml:space="preserve">13,76</w:t>
            </w:r>
          </w:p>
        </w:tc>
        <w:tc>
          <w:tcPr>
            <w:tcW w:type="dxa" w:w="2255"/>
            <w:vAlign w:val="center"/>
          </w:tcPr>
          <w:p>
            <w:pPr>
              <w:jc w:val="center"/>
            </w:pPr>
            <w:r>
              <w:rPr>
                <w:b w:val="false"/>
                <w:bCs w:val="false"/>
                <w:color w:val="000000"/>
                <w:sz w:val="20"/>
                <w:szCs w:val="20"/>
              </w:rPr>
              <w:t xml:space="preserve">28,00</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10 — Idade por sobrevivência</w:t>
      </w:r>
    </w:p>
    <w:p>
      <w:pPr>
        <w:spacing w:after="200"/>
        <w:jc w:val="both"/>
      </w:pPr>
      <w:r>
        <w:t xml:space="preserve">Também aqui a diferença é pequena (menos de 2 anos) e a mediana é igual nos dois grupos. Isoladamente, a idade não parece ter sido um fator determinante de sobrevivência — outros fatores, como sexo e classe, mostram diferenças muito mais expressivas.</w:t>
      </w:r>
    </w:p>
    <w:p>
      <w:pPr>
        <w:pStyle w:val="Heading2"/>
        <w:spacing w:after="150" w:before="300"/>
      </w:pPr>
      <w:r>
        <w:t xml:space="preserve">5.3 Tarifa por classe</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255"/>
        <w:gridCol w:w="2255"/>
        <w:gridCol w:w="2255"/>
        <w:gridCol w:w="2255"/>
      </w:tblGrid>
      <w:tr>
        <w:trPr>
          <w:tblHeader/>
        </w:trPr>
        <w:tc>
          <w:tcPr>
            <w:tcW w:type="dxa" w:w="2255"/>
            <w:shd w:fill="2E5266" w:val="clear"/>
            <w:vAlign w:val="center"/>
          </w:tcPr>
          <w:p>
            <w:pPr>
              <w:jc w:val="center"/>
            </w:pPr>
            <w:r>
              <w:rPr>
                <w:b/>
                <w:bCs/>
                <w:color w:val="FFFFFF"/>
                <w:sz w:val="20"/>
                <w:szCs w:val="20"/>
              </w:rPr>
              <w:t xml:space="preserve">Classe</w:t>
            </w:r>
          </w:p>
        </w:tc>
        <w:tc>
          <w:tcPr>
            <w:tcW w:type="dxa" w:w="2255"/>
            <w:shd w:fill="2E5266" w:val="clear"/>
            <w:vAlign w:val="center"/>
          </w:tcPr>
          <w:p>
            <w:pPr>
              <w:jc w:val="center"/>
            </w:pPr>
            <w:r>
              <w:rPr>
                <w:b/>
                <w:bCs/>
                <w:color w:val="FFFFFF"/>
                <w:sz w:val="20"/>
                <w:szCs w:val="20"/>
              </w:rPr>
              <w:t xml:space="preserve">Média</w:t>
            </w:r>
          </w:p>
        </w:tc>
        <w:tc>
          <w:tcPr>
            <w:tcW w:type="dxa" w:w="2255"/>
            <w:shd w:fill="2E5266" w:val="clear"/>
            <w:vAlign w:val="center"/>
          </w:tcPr>
          <w:p>
            <w:pPr>
              <w:jc w:val="center"/>
            </w:pPr>
            <w:r>
              <w:rPr>
                <w:b/>
                <w:bCs/>
                <w:color w:val="FFFFFF"/>
                <w:sz w:val="20"/>
                <w:szCs w:val="20"/>
              </w:rPr>
              <w:t xml:space="preserve">Desvio-padrão</w:t>
            </w:r>
          </w:p>
        </w:tc>
        <w:tc>
          <w:tcPr>
            <w:tcW w:type="dxa" w:w="2255"/>
            <w:shd w:fill="2E5266" w:val="clear"/>
            <w:vAlign w:val="center"/>
          </w:tcPr>
          <w:p>
            <w:pPr>
              <w:jc w:val="center"/>
            </w:pPr>
            <w:r>
              <w:rPr>
                <w:b/>
                <w:bCs/>
                <w:color w:val="FFFFFF"/>
                <w:sz w:val="20"/>
                <w:szCs w:val="20"/>
              </w:rPr>
              <w:t xml:space="preserve">Mediana</w:t>
            </w:r>
          </w:p>
        </w:tc>
      </w:tr>
      <w:tr>
        <w:tc>
          <w:tcPr>
            <w:tcW w:type="dxa" w:w="2255"/>
            <w:vAlign w:val="center"/>
          </w:tcPr>
          <w:p>
            <w:pPr>
              <w:jc w:val="center"/>
            </w:pPr>
            <w:r>
              <w:rPr>
                <w:b w:val="false"/>
                <w:bCs w:val="false"/>
                <w:color w:val="000000"/>
                <w:sz w:val="20"/>
                <w:szCs w:val="20"/>
              </w:rPr>
              <w:t xml:space="preserve">1ª classe</w:t>
            </w:r>
          </w:p>
        </w:tc>
        <w:tc>
          <w:tcPr>
            <w:tcW w:type="dxa" w:w="2255"/>
            <w:vAlign w:val="center"/>
          </w:tcPr>
          <w:p>
            <w:pPr>
              <w:jc w:val="center"/>
            </w:pPr>
            <w:r>
              <w:rPr>
                <w:b w:val="false"/>
                <w:bCs w:val="false"/>
                <w:color w:val="000000"/>
                <w:sz w:val="20"/>
                <w:szCs w:val="20"/>
              </w:rPr>
              <w:t xml:space="preserve">84,15</w:t>
            </w:r>
          </w:p>
        </w:tc>
        <w:tc>
          <w:tcPr>
            <w:tcW w:type="dxa" w:w="2255"/>
            <w:vAlign w:val="center"/>
          </w:tcPr>
          <w:p>
            <w:pPr>
              <w:jc w:val="center"/>
            </w:pPr>
            <w:r>
              <w:rPr>
                <w:b w:val="false"/>
                <w:bCs w:val="false"/>
                <w:color w:val="000000"/>
                <w:sz w:val="20"/>
                <w:szCs w:val="20"/>
              </w:rPr>
              <w:t xml:space="preserve">78,38</w:t>
            </w:r>
          </w:p>
        </w:tc>
        <w:tc>
          <w:tcPr>
            <w:tcW w:type="dxa" w:w="2255"/>
            <w:vAlign w:val="center"/>
          </w:tcPr>
          <w:p>
            <w:pPr>
              <w:jc w:val="center"/>
            </w:pPr>
            <w:r>
              <w:rPr>
                <w:b w:val="false"/>
                <w:bCs w:val="false"/>
                <w:color w:val="000000"/>
                <w:sz w:val="20"/>
                <w:szCs w:val="20"/>
              </w:rPr>
              <w:t xml:space="preserve">60,29</w:t>
            </w:r>
          </w:p>
        </w:tc>
      </w:tr>
      <w:tr>
        <w:tc>
          <w:tcPr>
            <w:tcW w:type="dxa" w:w="2255"/>
            <w:vAlign w:val="center"/>
          </w:tcPr>
          <w:p>
            <w:pPr>
              <w:jc w:val="center"/>
            </w:pPr>
            <w:r>
              <w:rPr>
                <w:b w:val="false"/>
                <w:bCs w:val="false"/>
                <w:color w:val="000000"/>
                <w:sz w:val="20"/>
                <w:szCs w:val="20"/>
              </w:rPr>
              <w:t xml:space="preserve">2ª classe</w:t>
            </w:r>
          </w:p>
        </w:tc>
        <w:tc>
          <w:tcPr>
            <w:tcW w:type="dxa" w:w="2255"/>
            <w:vAlign w:val="center"/>
          </w:tcPr>
          <w:p>
            <w:pPr>
              <w:jc w:val="center"/>
            </w:pPr>
            <w:r>
              <w:rPr>
                <w:b w:val="false"/>
                <w:bCs w:val="false"/>
                <w:color w:val="000000"/>
                <w:sz w:val="20"/>
                <w:szCs w:val="20"/>
              </w:rPr>
              <w:t xml:space="preserve">20,66</w:t>
            </w:r>
          </w:p>
        </w:tc>
        <w:tc>
          <w:tcPr>
            <w:tcW w:type="dxa" w:w="2255"/>
            <w:vAlign w:val="center"/>
          </w:tcPr>
          <w:p>
            <w:pPr>
              <w:jc w:val="center"/>
            </w:pPr>
            <w:r>
              <w:rPr>
                <w:b w:val="false"/>
                <w:bCs w:val="false"/>
                <w:color w:val="000000"/>
                <w:sz w:val="20"/>
                <w:szCs w:val="20"/>
              </w:rPr>
              <w:t xml:space="preserve">13,42</w:t>
            </w:r>
          </w:p>
        </w:tc>
        <w:tc>
          <w:tcPr>
            <w:tcW w:type="dxa" w:w="2255"/>
            <w:vAlign w:val="center"/>
          </w:tcPr>
          <w:p>
            <w:pPr>
              <w:jc w:val="center"/>
            </w:pPr>
            <w:r>
              <w:rPr>
                <w:b w:val="false"/>
                <w:bCs w:val="false"/>
                <w:color w:val="000000"/>
                <w:sz w:val="20"/>
                <w:szCs w:val="20"/>
              </w:rPr>
              <w:t xml:space="preserve">14,25</w:t>
            </w:r>
          </w:p>
        </w:tc>
      </w:tr>
      <w:tr>
        <w:tc>
          <w:tcPr>
            <w:tcW w:type="dxa" w:w="2255"/>
            <w:vAlign w:val="center"/>
          </w:tcPr>
          <w:p>
            <w:pPr>
              <w:jc w:val="center"/>
            </w:pPr>
            <w:r>
              <w:rPr>
                <w:b w:val="false"/>
                <w:bCs w:val="false"/>
                <w:color w:val="000000"/>
                <w:sz w:val="20"/>
                <w:szCs w:val="20"/>
              </w:rPr>
              <w:t xml:space="preserve">3ª classe</w:t>
            </w:r>
          </w:p>
        </w:tc>
        <w:tc>
          <w:tcPr>
            <w:tcW w:type="dxa" w:w="2255"/>
            <w:vAlign w:val="center"/>
          </w:tcPr>
          <w:p>
            <w:pPr>
              <w:jc w:val="center"/>
            </w:pPr>
            <w:r>
              <w:rPr>
                <w:b w:val="false"/>
                <w:bCs w:val="false"/>
                <w:color w:val="000000"/>
                <w:sz w:val="20"/>
                <w:szCs w:val="20"/>
              </w:rPr>
              <w:t xml:space="preserve">13,68</w:t>
            </w:r>
          </w:p>
        </w:tc>
        <w:tc>
          <w:tcPr>
            <w:tcW w:type="dxa" w:w="2255"/>
            <w:vAlign w:val="center"/>
          </w:tcPr>
          <w:p>
            <w:pPr>
              <w:jc w:val="center"/>
            </w:pPr>
            <w:r>
              <w:rPr>
                <w:b w:val="false"/>
                <w:bCs w:val="false"/>
                <w:color w:val="000000"/>
                <w:sz w:val="20"/>
                <w:szCs w:val="20"/>
              </w:rPr>
              <w:t xml:space="preserve">11,78</w:t>
            </w:r>
          </w:p>
        </w:tc>
        <w:tc>
          <w:tcPr>
            <w:tcW w:type="dxa" w:w="2255"/>
            <w:vAlign w:val="center"/>
          </w:tcPr>
          <w:p>
            <w:pPr>
              <w:jc w:val="center"/>
            </w:pPr>
            <w:r>
              <w:rPr>
                <w:b w:val="false"/>
                <w:bCs w:val="false"/>
                <w:color w:val="000000"/>
                <w:sz w:val="20"/>
                <w:szCs w:val="20"/>
              </w:rPr>
              <w:t xml:space="preserve">8,05</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11 — Tarifa por classe</w:t>
      </w:r>
    </w:p>
    <w:p>
      <w:pPr>
        <w:spacing w:after="200"/>
        <w:jc w:val="both"/>
      </w:pPr>
      <w:r>
        <w:t xml:space="preserve">A tarifa média da 1ª classe (84,15) é mais de seis vezes maior que a da 3ª classe (13,68), evidenciando a forte hierarquia econômica entre as classes do navio. O desvio-padrão bem mais alto na 1ª classe (78,38) mostra que os preços eram também muito mais variados entre os passageiros mais ricos.</w:t>
      </w:r>
    </w:p>
    <w:p>
      <w:pPr>
        <w:pStyle w:val="Heading2"/>
        <w:spacing w:after="150" w:before="300"/>
      </w:pPr>
      <w:r>
        <w:t xml:space="preserve">5.4 Taxa de sobrevivência por sexo</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7"/>
        <w:gridCol w:w="3007"/>
      </w:tblGrid>
      <w:tr>
        <w:trPr>
          <w:tblHeader/>
        </w:trPr>
        <w:tc>
          <w:tcPr>
            <w:tcW w:type="dxa" w:w="3006"/>
            <w:shd w:fill="2E5266" w:val="clear"/>
            <w:vAlign w:val="center"/>
          </w:tcPr>
          <w:p>
            <w:pPr>
              <w:jc w:val="center"/>
            </w:pPr>
            <w:r>
              <w:rPr>
                <w:b/>
                <w:bCs/>
                <w:color w:val="FFFFFF"/>
                <w:sz w:val="20"/>
                <w:szCs w:val="20"/>
              </w:rPr>
              <w:t xml:space="preserve">Sexo</w:t>
            </w:r>
          </w:p>
        </w:tc>
        <w:tc>
          <w:tcPr>
            <w:tcW w:type="dxa" w:w="3007"/>
            <w:shd w:fill="2E5266" w:val="clear"/>
            <w:vAlign w:val="center"/>
          </w:tcPr>
          <w:p>
            <w:pPr>
              <w:jc w:val="center"/>
            </w:pPr>
            <w:r>
              <w:rPr>
                <w:b/>
                <w:bCs/>
                <w:color w:val="FFFFFF"/>
                <w:sz w:val="20"/>
                <w:szCs w:val="20"/>
              </w:rPr>
              <w:t xml:space="preserve">Não sobreviveu</w:t>
            </w:r>
          </w:p>
        </w:tc>
        <w:tc>
          <w:tcPr>
            <w:tcW w:type="dxa" w:w="3007"/>
            <w:shd w:fill="2E5266" w:val="clear"/>
            <w:vAlign w:val="center"/>
          </w:tcPr>
          <w:p>
            <w:pPr>
              <w:jc w:val="center"/>
            </w:pPr>
            <w:r>
              <w:rPr>
                <w:b/>
                <w:bCs/>
                <w:color w:val="FFFFFF"/>
                <w:sz w:val="20"/>
                <w:szCs w:val="20"/>
              </w:rPr>
              <w:t xml:space="preserve">Sobreviveu</w:t>
            </w:r>
          </w:p>
        </w:tc>
      </w:tr>
      <w:tr>
        <w:tc>
          <w:tcPr>
            <w:tcW w:type="dxa" w:w="3006"/>
            <w:vAlign w:val="center"/>
          </w:tcPr>
          <w:p>
            <w:pPr>
              <w:jc w:val="center"/>
            </w:pPr>
            <w:r>
              <w:rPr>
                <w:b w:val="false"/>
                <w:bCs w:val="false"/>
                <w:color w:val="000000"/>
                <w:sz w:val="20"/>
                <w:szCs w:val="20"/>
              </w:rPr>
              <w:t xml:space="preserve">Mulheres</w:t>
            </w:r>
          </w:p>
        </w:tc>
        <w:tc>
          <w:tcPr>
            <w:tcW w:type="dxa" w:w="3007"/>
            <w:vAlign w:val="center"/>
          </w:tcPr>
          <w:p>
            <w:pPr>
              <w:jc w:val="center"/>
            </w:pPr>
            <w:r>
              <w:rPr>
                <w:b w:val="false"/>
                <w:bCs w:val="false"/>
                <w:color w:val="000000"/>
                <w:sz w:val="20"/>
                <w:szCs w:val="20"/>
              </w:rPr>
              <w:t xml:space="preserve">25,80%</w:t>
            </w:r>
          </w:p>
        </w:tc>
        <w:tc>
          <w:tcPr>
            <w:tcW w:type="dxa" w:w="3007"/>
            <w:vAlign w:val="center"/>
          </w:tcPr>
          <w:p>
            <w:pPr>
              <w:jc w:val="center"/>
            </w:pPr>
            <w:r>
              <w:rPr>
                <w:b w:val="false"/>
                <w:bCs w:val="false"/>
                <w:color w:val="000000"/>
                <w:sz w:val="20"/>
                <w:szCs w:val="20"/>
              </w:rPr>
              <w:t xml:space="preserve">74,20%</w:t>
            </w:r>
          </w:p>
        </w:tc>
      </w:tr>
      <w:tr>
        <w:tc>
          <w:tcPr>
            <w:tcW w:type="dxa" w:w="3006"/>
            <w:vAlign w:val="center"/>
          </w:tcPr>
          <w:p>
            <w:pPr>
              <w:jc w:val="center"/>
            </w:pPr>
            <w:r>
              <w:rPr>
                <w:b w:val="false"/>
                <w:bCs w:val="false"/>
                <w:color w:val="000000"/>
                <w:sz w:val="20"/>
                <w:szCs w:val="20"/>
              </w:rPr>
              <w:t xml:space="preserve">Homens</w:t>
            </w:r>
          </w:p>
        </w:tc>
        <w:tc>
          <w:tcPr>
            <w:tcW w:type="dxa" w:w="3007"/>
            <w:vAlign w:val="center"/>
          </w:tcPr>
          <w:p>
            <w:pPr>
              <w:jc w:val="center"/>
            </w:pPr>
            <w:r>
              <w:rPr>
                <w:b w:val="false"/>
                <w:bCs w:val="false"/>
                <w:color w:val="000000"/>
                <w:sz w:val="20"/>
                <w:szCs w:val="20"/>
              </w:rPr>
              <w:t xml:space="preserve">81,11%</w:t>
            </w:r>
          </w:p>
        </w:tc>
        <w:tc>
          <w:tcPr>
            <w:tcW w:type="dxa" w:w="3007"/>
            <w:vAlign w:val="center"/>
          </w:tcPr>
          <w:p>
            <w:pPr>
              <w:jc w:val="center"/>
            </w:pPr>
            <w:r>
              <w:rPr>
                <w:b w:val="false"/>
                <w:bCs w:val="false"/>
                <w:color w:val="000000"/>
                <w:sz w:val="20"/>
                <w:szCs w:val="20"/>
              </w:rPr>
              <w:t xml:space="preserve">18,89%</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12 — Taxa de sobrevivência por sexo</w:t>
      </w:r>
    </w:p>
    <w:p>
      <w:pPr>
        <w:spacing w:after="200"/>
        <w:jc w:val="both"/>
      </w:pPr>
      <w:r>
        <w:t xml:space="preserve">Esta é a comparação mais expressiva de toda a análise: 74,20% das mulheres sobreviveram, contra apenas 18,89% dos homens — uma diferença de mais de 55 pontos percentuais. O resultado é uma evidência estatística clara da política de evacuação "mulheres e crianças primeiro" adotada durante o naufrágio.</w:t>
      </w:r>
    </w:p>
    <w:p>
      <w:r>
        <w:br w:type="page"/>
      </w:r>
    </w:p>
    <w:p>
      <w:pPr>
        <w:pStyle w:val="Heading1"/>
        <w:spacing w:after="200" w:before="400"/>
      </w:pPr>
      <w:r>
        <w:t xml:space="preserve">6. Investigação livre</w:t>
      </w:r>
    </w:p>
    <w:p>
      <w:pPr>
        <w:spacing w:after="200"/>
        <w:jc w:val="both"/>
      </w:pPr>
      <w:r>
        <w:rPr>
          <w:b/>
          <w:bCs/>
        </w:rPr>
        <w:t xml:space="preserve">Pergunta: existe relação entre o título de tratamento usado no nome do passageiro (Mr., Mrs., Miss, Master) e a taxa de sobrevivência?</w:t>
      </w:r>
    </w:p>
    <w:p>
      <w:pPr>
        <w:spacing w:after="200"/>
        <w:jc w:val="both"/>
      </w:pPr>
      <w:r>
        <w:t xml:space="preserve">Método: o título foi extraído do campo Name por meio de expressão regular (o texto entre a vírgula após o sobrenome e o ponto seguinte). Os títulos mais frequentes (Mr, Mrs, Miss, Master) foram mantidos individualmente e os demais agrupados em "Outro". Em seguida, calculou-se a taxa de sobrevivência de cada grupo por meio de uma tabela cruzada.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006"/>
        <w:gridCol w:w="3007"/>
        <w:gridCol w:w="3007"/>
      </w:tblGrid>
      <w:tr>
        <w:trPr>
          <w:tblHeader/>
        </w:trPr>
        <w:tc>
          <w:tcPr>
            <w:tcW w:type="dxa" w:w="3006"/>
            <w:shd w:fill="2E5266" w:val="clear"/>
            <w:vAlign w:val="center"/>
          </w:tcPr>
          <w:p>
            <w:pPr>
              <w:jc w:val="center"/>
            </w:pPr>
            <w:r>
              <w:rPr>
                <w:b/>
                <w:bCs/>
                <w:color w:val="FFFFFF"/>
                <w:sz w:val="20"/>
                <w:szCs w:val="20"/>
              </w:rPr>
              <w:t xml:space="preserve">Título</w:t>
            </w:r>
          </w:p>
        </w:tc>
        <w:tc>
          <w:tcPr>
            <w:tcW w:type="dxa" w:w="3007"/>
            <w:shd w:fill="2E5266" w:val="clear"/>
            <w:vAlign w:val="center"/>
          </w:tcPr>
          <w:p>
            <w:pPr>
              <w:jc w:val="center"/>
            </w:pPr>
            <w:r>
              <w:rPr>
                <w:b/>
                <w:bCs/>
                <w:color w:val="FFFFFF"/>
                <w:sz w:val="20"/>
                <w:szCs w:val="20"/>
              </w:rPr>
              <w:t xml:space="preserve">Não sobreviveu</w:t>
            </w:r>
          </w:p>
        </w:tc>
        <w:tc>
          <w:tcPr>
            <w:tcW w:type="dxa" w:w="3007"/>
            <w:shd w:fill="2E5266" w:val="clear"/>
            <w:vAlign w:val="center"/>
          </w:tcPr>
          <w:p>
            <w:pPr>
              <w:jc w:val="center"/>
            </w:pPr>
            <w:r>
              <w:rPr>
                <w:b/>
                <w:bCs/>
                <w:color w:val="FFFFFF"/>
                <w:sz w:val="20"/>
                <w:szCs w:val="20"/>
              </w:rPr>
              <w:t xml:space="preserve">Sobreviveu</w:t>
            </w:r>
          </w:p>
        </w:tc>
      </w:tr>
      <w:tr>
        <w:tc>
          <w:tcPr>
            <w:tcW w:type="dxa" w:w="3006"/>
            <w:vAlign w:val="center"/>
          </w:tcPr>
          <w:p>
            <w:pPr>
              <w:jc w:val="center"/>
            </w:pPr>
            <w:r>
              <w:rPr>
                <w:b w:val="false"/>
                <w:bCs w:val="false"/>
                <w:color w:val="000000"/>
                <w:sz w:val="20"/>
                <w:szCs w:val="20"/>
              </w:rPr>
              <w:t xml:space="preserve">Master (meninos)</w:t>
            </w:r>
          </w:p>
        </w:tc>
        <w:tc>
          <w:tcPr>
            <w:tcW w:type="dxa" w:w="3007"/>
            <w:vAlign w:val="center"/>
          </w:tcPr>
          <w:p>
            <w:pPr>
              <w:jc w:val="center"/>
            </w:pPr>
            <w:r>
              <w:rPr>
                <w:b w:val="false"/>
                <w:bCs w:val="false"/>
                <w:color w:val="000000"/>
                <w:sz w:val="20"/>
                <w:szCs w:val="20"/>
              </w:rPr>
              <w:t xml:space="preserve">42,50%</w:t>
            </w:r>
          </w:p>
        </w:tc>
        <w:tc>
          <w:tcPr>
            <w:tcW w:type="dxa" w:w="3007"/>
            <w:vAlign w:val="center"/>
          </w:tcPr>
          <w:p>
            <w:pPr>
              <w:jc w:val="center"/>
            </w:pPr>
            <w:r>
              <w:rPr>
                <w:b w:val="false"/>
                <w:bCs w:val="false"/>
                <w:color w:val="000000"/>
                <w:sz w:val="20"/>
                <w:szCs w:val="20"/>
              </w:rPr>
              <w:t xml:space="preserve">57,50%</w:t>
            </w:r>
          </w:p>
        </w:tc>
      </w:tr>
      <w:tr>
        <w:tc>
          <w:tcPr>
            <w:tcW w:type="dxa" w:w="3006"/>
            <w:vAlign w:val="center"/>
          </w:tcPr>
          <w:p>
            <w:pPr>
              <w:jc w:val="center"/>
            </w:pPr>
            <w:r>
              <w:rPr>
                <w:b w:val="false"/>
                <w:bCs w:val="false"/>
                <w:color w:val="000000"/>
                <w:sz w:val="20"/>
                <w:szCs w:val="20"/>
              </w:rPr>
              <w:t xml:space="preserve">Miss (mulheres solteiras)</w:t>
            </w:r>
          </w:p>
        </w:tc>
        <w:tc>
          <w:tcPr>
            <w:tcW w:type="dxa" w:w="3007"/>
            <w:vAlign w:val="center"/>
          </w:tcPr>
          <w:p>
            <w:pPr>
              <w:jc w:val="center"/>
            </w:pPr>
            <w:r>
              <w:rPr>
                <w:b w:val="false"/>
                <w:bCs w:val="false"/>
                <w:color w:val="000000"/>
                <w:sz w:val="20"/>
                <w:szCs w:val="20"/>
              </w:rPr>
              <w:t xml:space="preserve">30,22%</w:t>
            </w:r>
          </w:p>
        </w:tc>
        <w:tc>
          <w:tcPr>
            <w:tcW w:type="dxa" w:w="3007"/>
            <w:vAlign w:val="center"/>
          </w:tcPr>
          <w:p>
            <w:pPr>
              <w:jc w:val="center"/>
            </w:pPr>
            <w:r>
              <w:rPr>
                <w:b w:val="false"/>
                <w:bCs w:val="false"/>
                <w:color w:val="000000"/>
                <w:sz w:val="20"/>
                <w:szCs w:val="20"/>
              </w:rPr>
              <w:t xml:space="preserve">69,78%</w:t>
            </w:r>
          </w:p>
        </w:tc>
      </w:tr>
      <w:tr>
        <w:tc>
          <w:tcPr>
            <w:tcW w:type="dxa" w:w="3006"/>
            <w:vAlign w:val="center"/>
          </w:tcPr>
          <w:p>
            <w:pPr>
              <w:jc w:val="center"/>
            </w:pPr>
            <w:r>
              <w:rPr>
                <w:b w:val="false"/>
                <w:bCs w:val="false"/>
                <w:color w:val="000000"/>
                <w:sz w:val="20"/>
                <w:szCs w:val="20"/>
              </w:rPr>
              <w:t xml:space="preserve">Mr (homens adultos)</w:t>
            </w:r>
          </w:p>
        </w:tc>
        <w:tc>
          <w:tcPr>
            <w:tcW w:type="dxa" w:w="3007"/>
            <w:vAlign w:val="center"/>
          </w:tcPr>
          <w:p>
            <w:pPr>
              <w:jc w:val="center"/>
            </w:pPr>
            <w:r>
              <w:rPr>
                <w:b w:val="false"/>
                <w:bCs w:val="false"/>
                <w:color w:val="000000"/>
                <w:sz w:val="20"/>
                <w:szCs w:val="20"/>
              </w:rPr>
              <w:t xml:space="preserve">84,33%</w:t>
            </w:r>
          </w:p>
        </w:tc>
        <w:tc>
          <w:tcPr>
            <w:tcW w:type="dxa" w:w="3007"/>
            <w:vAlign w:val="center"/>
          </w:tcPr>
          <w:p>
            <w:pPr>
              <w:jc w:val="center"/>
            </w:pPr>
            <w:r>
              <w:rPr>
                <w:b w:val="false"/>
                <w:bCs w:val="false"/>
                <w:color w:val="000000"/>
                <w:sz w:val="20"/>
                <w:szCs w:val="20"/>
              </w:rPr>
              <w:t xml:space="preserve">15,67%</w:t>
            </w:r>
          </w:p>
        </w:tc>
      </w:tr>
      <w:tr>
        <w:tc>
          <w:tcPr>
            <w:tcW w:type="dxa" w:w="3006"/>
            <w:vAlign w:val="center"/>
          </w:tcPr>
          <w:p>
            <w:pPr>
              <w:jc w:val="center"/>
            </w:pPr>
            <w:r>
              <w:rPr>
                <w:b w:val="false"/>
                <w:bCs w:val="false"/>
                <w:color w:val="000000"/>
                <w:sz w:val="20"/>
                <w:szCs w:val="20"/>
              </w:rPr>
              <w:t xml:space="preserve">Mrs (mulheres casadas)</w:t>
            </w:r>
          </w:p>
        </w:tc>
        <w:tc>
          <w:tcPr>
            <w:tcW w:type="dxa" w:w="3007"/>
            <w:vAlign w:val="center"/>
          </w:tcPr>
          <w:p>
            <w:pPr>
              <w:jc w:val="center"/>
            </w:pPr>
            <w:r>
              <w:rPr>
                <w:b w:val="false"/>
                <w:bCs w:val="false"/>
                <w:color w:val="000000"/>
                <w:sz w:val="20"/>
                <w:szCs w:val="20"/>
              </w:rPr>
              <w:t xml:space="preserve">20,80%</w:t>
            </w:r>
          </w:p>
        </w:tc>
        <w:tc>
          <w:tcPr>
            <w:tcW w:type="dxa" w:w="3007"/>
            <w:vAlign w:val="center"/>
          </w:tcPr>
          <w:p>
            <w:pPr>
              <w:jc w:val="center"/>
            </w:pPr>
            <w:r>
              <w:rPr>
                <w:b w:val="false"/>
                <w:bCs w:val="false"/>
                <w:color w:val="000000"/>
                <w:sz w:val="20"/>
                <w:szCs w:val="20"/>
              </w:rPr>
              <w:t xml:space="preserve">79,20%</w:t>
            </w:r>
          </w:p>
        </w:tc>
      </w:tr>
      <w:tr>
        <w:tc>
          <w:tcPr>
            <w:tcW w:type="dxa" w:w="3006"/>
            <w:vAlign w:val="center"/>
          </w:tcPr>
          <w:p>
            <w:pPr>
              <w:jc w:val="center"/>
            </w:pPr>
            <w:r>
              <w:rPr>
                <w:b w:val="false"/>
                <w:bCs w:val="false"/>
                <w:color w:val="000000"/>
                <w:sz w:val="20"/>
                <w:szCs w:val="20"/>
              </w:rPr>
              <w:t xml:space="preserve">Outro</w:t>
            </w:r>
          </w:p>
        </w:tc>
        <w:tc>
          <w:tcPr>
            <w:tcW w:type="dxa" w:w="3007"/>
            <w:vAlign w:val="center"/>
          </w:tcPr>
          <w:p>
            <w:pPr>
              <w:jc w:val="center"/>
            </w:pPr>
            <w:r>
              <w:rPr>
                <w:b w:val="false"/>
                <w:bCs w:val="false"/>
                <w:color w:val="000000"/>
                <w:sz w:val="20"/>
                <w:szCs w:val="20"/>
              </w:rPr>
              <w:t xml:space="preserve">55,56%</w:t>
            </w:r>
          </w:p>
        </w:tc>
        <w:tc>
          <w:tcPr>
            <w:tcW w:type="dxa" w:w="3007"/>
            <w:vAlign w:val="center"/>
          </w:tcPr>
          <w:p>
            <w:pPr>
              <w:jc w:val="center"/>
            </w:pPr>
            <w:r>
              <w:rPr>
                <w:b w:val="false"/>
                <w:bCs w:val="false"/>
                <w:color w:val="000000"/>
                <w:sz w:val="20"/>
                <w:szCs w:val="20"/>
              </w:rPr>
              <w:t xml:space="preserve">44,44%</w:t>
            </w:r>
          </w:p>
        </w:tc>
      </w:tr>
    </w:tbl>
    <w:p>
      <w:pPr>
        <w:spacing w:after="80" w:before="150"/>
        <w:jc w:val="center"/>
      </w:pPr>
      <w:r>
        <w:drawing>
          <wp:inline distT="0" distB="0" distL="0" distR="0">
            <wp:extent cx="40005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000500" cy="2914650"/>
                    </a:xfrm>
                    <a:prstGeom prst="rect">
                      <a:avLst/>
                    </a:prstGeom>
                  </pic:spPr>
                </pic:pic>
              </a:graphicData>
            </a:graphic>
          </wp:inline>
        </w:drawing>
      </w:r>
    </w:p>
    <w:p>
      <w:pPr>
        <w:spacing w:after="300"/>
        <w:jc w:val="center"/>
      </w:pPr>
      <w:r>
        <w:rPr>
          <w:i/>
          <w:iCs/>
          <w:sz w:val="18"/>
          <w:szCs w:val="18"/>
        </w:rPr>
        <w:t xml:space="preserve">Figura 13 — Taxa de sobrevivência por título</w:t>
      </w:r>
    </w:p>
    <w:p>
      <w:pPr>
        <w:spacing w:after="200"/>
        <w:jc w:val="both"/>
      </w:pPr>
      <w:r>
        <w:t xml:space="preserve">Resultado: mulheres casadas (Mrs) tiveram a maior taxa de sobrevivência (79,20%), seguidas pelas mulheres solteiras (Miss, 69,78%) e pelos meninos (Master, 57,50%); os homens adultos (Mr) tiveram a menor taxa de todos os grupos (15,67%).</w:t>
      </w:r>
    </w:p>
    <w:p>
      <w:pPr>
        <w:spacing w:after="200"/>
        <w:jc w:val="both"/>
      </w:pPr>
      <w:r>
        <w:t xml:space="preserve">Conclusão: como o título reflete simultaneamente sexo e faixa etária/estado civil (Master = meninos, Miss = mulheres jovens/solteiras, Mrs = mulheres casadas, Mr = homens adultos), a taxa de sobrevivência segue exatamente a ordem esperada pela prioridade de evacuação. O título se mostra um preditor tão forte quanto o sexo isoladamente, por combinar duas informações relevantes em uma só variável.</w:t>
      </w:r>
    </w:p>
    <w:p>
      <w:r>
        <w:br w:type="page"/>
      </w:r>
    </w:p>
    <w:p>
      <w:pPr>
        <w:pStyle w:val="Heading1"/>
        <w:spacing w:after="200" w:before="400"/>
      </w:pPr>
      <w:r>
        <w:t xml:space="preserve">7. As cinco principais descobertas</w:t>
      </w:r>
    </w:p>
    <w:p>
      <w:pPr>
        <w:pStyle w:val="Heading2"/>
        <w:spacing w:after="150" w:before="300"/>
      </w:pPr>
      <w:r>
        <w:t xml:space="preserve">1. O sexo foi o fator mais associado à sobrevivência</w:t>
      </w:r>
    </w:p>
    <w:p>
      <w:pPr>
        <w:spacing w:after="200"/>
        <w:jc w:val="both"/>
      </w:pPr>
      <w:r>
        <w:t xml:space="preserve">O que encontramos: Mulheres sobreviveram a uma taxa muito maior que homens.</w:t>
      </w:r>
    </w:p>
    <w:p>
      <w:pPr>
        <w:spacing w:after="200"/>
        <w:jc w:val="both"/>
      </w:pPr>
      <w:r>
        <w:t xml:space="preserve">Evidência estatística: 74,20% das mulheres sobreviveram contra apenas 18,89% dos homens — diferença de mais de 55 pontos percentuais.</w:t>
      </w:r>
    </w:p>
    <w:p>
      <w:pPr>
        <w:spacing w:after="200"/>
        <w:jc w:val="both"/>
      </w:pPr>
      <w:r>
        <w:t xml:space="preserve">Gráfico/tabela que melhor demonstra: Figura 12 (sobrevivência por sexo)</w:t>
      </w:r>
    </w:p>
    <w:p>
      <w:pPr>
        <w:spacing w:after="200"/>
        <w:jc w:val="both"/>
      </w:pPr>
      <w:r>
        <w:t xml:space="preserve">Interpretação: Forte evidência da prioridade dada a mulheres na evacuação; é a diferença mais expressiva de todo o relatório.</w:t>
      </w:r>
    </w:p>
    <w:p>
      <w:pPr>
        <w:pStyle w:val="Heading2"/>
        <w:spacing w:after="150" w:before="300"/>
      </w:pPr>
      <w:r>
        <w:t xml:space="preserve">2. A classe social determinava fortemente o valor pago pela passagem</w:t>
      </w:r>
    </w:p>
    <w:p>
      <w:pPr>
        <w:spacing w:after="200"/>
        <w:jc w:val="both"/>
      </w:pPr>
      <w:r>
        <w:t xml:space="preserve">O que encontramos: Passageiros de classes mais altas pagavam tarifas muito superiores.</w:t>
      </w:r>
    </w:p>
    <w:p>
      <w:pPr>
        <w:spacing w:after="200"/>
        <w:jc w:val="both"/>
      </w:pPr>
      <w:r>
        <w:t xml:space="preserve">Evidência estatística: Tarifa média de 84,15 na 1ª classe contra 13,68 na 3ª classe (mais de 6 vezes maior).</w:t>
      </w:r>
    </w:p>
    <w:p>
      <w:pPr>
        <w:spacing w:after="200"/>
        <w:jc w:val="both"/>
      </w:pPr>
      <w:r>
        <w:t xml:space="preserve">Gráfico/tabela que melhor demonstra: Figura 11 (tarifa por classe)</w:t>
      </w:r>
    </w:p>
    <w:p>
      <w:pPr>
        <w:spacing w:after="200"/>
        <w:jc w:val="both"/>
      </w:pPr>
      <w:r>
        <w:t xml:space="preserve">Interpretação: Reflete uma estrutura econômica muito desigual entre os passageiros do navio.</w:t>
      </w:r>
    </w:p>
    <w:p>
      <w:pPr>
        <w:pStyle w:val="Heading2"/>
        <w:spacing w:after="150" w:before="300"/>
      </w:pPr>
      <w:r>
        <w:t xml:space="preserve">3. A maioria dos passageiros viajava na classe mais barata</w:t>
      </w:r>
    </w:p>
    <w:p>
      <w:pPr>
        <w:spacing w:after="200"/>
        <w:jc w:val="both"/>
      </w:pPr>
      <w:r>
        <w:t xml:space="preserve">O que encontramos: A 3ª classe concentrava a maior parte dos passageiros.</w:t>
      </w:r>
    </w:p>
    <w:p>
      <w:pPr>
        <w:spacing w:after="200"/>
        <w:jc w:val="both"/>
      </w:pPr>
      <w:r>
        <w:t xml:space="preserve">Evidência estatística: 55,11% dos passageiros estavam na 3ª classe, contra 24,24% na 1ª e 20,65% na 2ª.</w:t>
      </w:r>
    </w:p>
    <w:p>
      <w:pPr>
        <w:spacing w:after="200"/>
        <w:jc w:val="both"/>
      </w:pPr>
      <w:r>
        <w:t xml:space="preserve">Gráfico/tabela que melhor demonstra: Figura 2 (distribuição por classe)</w:t>
      </w:r>
    </w:p>
    <w:p>
      <w:pPr>
        <w:spacing w:after="200"/>
        <w:jc w:val="both"/>
      </w:pPr>
      <w:r>
        <w:t xml:space="preserve">Interpretação: Indica que o público majoritário do navio era de emigrantes, não de passageiros de alto poder aquisitivo.</w:t>
      </w:r>
    </w:p>
    <w:p>
      <w:pPr>
        <w:pStyle w:val="Heading2"/>
        <w:spacing w:after="150" w:before="300"/>
      </w:pPr>
      <w:r>
        <w:t xml:space="preserve">4. A distribuição da tarifa é fortemente assimétrica</w:t>
      </w:r>
    </w:p>
    <w:p>
      <w:pPr>
        <w:spacing w:after="200"/>
        <w:jc w:val="both"/>
      </w:pPr>
      <w:r>
        <w:t xml:space="preserve">O que encontramos: Poucos passageiros pagaram valores muito acima da maioria.</w:t>
      </w:r>
    </w:p>
    <w:p>
      <w:pPr>
        <w:spacing w:after="200"/>
        <w:jc w:val="both"/>
      </w:pPr>
      <w:r>
        <w:t xml:space="preserve">Evidência estatística: Média de 32,20 bem acima da mediana de 14,45, com máximo de 512,33.</w:t>
      </w:r>
    </w:p>
    <w:p>
      <w:pPr>
        <w:spacing w:after="200"/>
        <w:jc w:val="both"/>
      </w:pPr>
      <w:r>
        <w:t xml:space="preserve">Gráfico/tabela que melhor demonstra: Figura 6 (histograma/boxplot da tarifa)</w:t>
      </w:r>
    </w:p>
    <w:p>
      <w:pPr>
        <w:spacing w:after="200"/>
        <w:jc w:val="both"/>
      </w:pPr>
      <w:r>
        <w:t xml:space="preserve">Interpretação: Uma pequena minoria pagando valores muito altos distorce a média para cima; a mediana representa melhor o "passageiro típico".</w:t>
      </w:r>
    </w:p>
    <w:p>
      <w:pPr>
        <w:pStyle w:val="Heading2"/>
        <w:spacing w:after="150" w:before="300"/>
      </w:pPr>
      <w:r>
        <w:t xml:space="preserve">5. O título no nome prediz sobrevivência quase tão bem quanto o sexo</w:t>
      </w:r>
    </w:p>
    <w:p>
      <w:pPr>
        <w:spacing w:after="200"/>
        <w:jc w:val="both"/>
      </w:pPr>
      <w:r>
        <w:t xml:space="preserve">O que encontramos: Combinar sexo e estado civil (via título) refina ainda mais o padrão de sobrevivência.</w:t>
      </w:r>
    </w:p>
    <w:p>
      <w:pPr>
        <w:spacing w:after="200"/>
        <w:jc w:val="both"/>
      </w:pPr>
      <w:r>
        <w:t xml:space="preserve">Evidência estatística: Mrs: 79,20% de sobreviventes; Mr: apenas 15,67%.</w:t>
      </w:r>
    </w:p>
    <w:p>
      <w:pPr>
        <w:spacing w:after="200"/>
        <w:jc w:val="both"/>
      </w:pPr>
      <w:r>
        <w:t xml:space="preserve">Gráfico/tabela que melhor demonstra: Figura 13 (sobrevivência por título)</w:t>
      </w:r>
    </w:p>
    <w:p>
      <w:pPr>
        <w:spacing w:after="200"/>
        <w:jc w:val="both"/>
      </w:pPr>
      <w:r>
        <w:t xml:space="preserve">Interpretação: Mostra que o título captura, em uma só variável, o efeito combinado de sexo e idade/estado civil sobre a chance de sobrevivência.</w:t>
      </w:r>
    </w:p>
    <w:p>
      <w:r>
        <w:br w:type="page"/>
      </w:r>
    </w:p>
    <w:p>
      <w:pPr>
        <w:pStyle w:val="Heading1"/>
        <w:spacing w:after="200" w:before="400"/>
      </w:pPr>
      <w:r>
        <w:t xml:space="preserve">8. Conclusão geral</w:t>
      </w:r>
    </w:p>
    <w:p>
      <w:pPr>
        <w:spacing w:after="200"/>
        <w:jc w:val="both"/>
      </w:pPr>
      <w:r>
        <w:t xml:space="preserve">A análise estatística descritiva da base de passageiros do Titanic revela uma população predominantemente jovem-adulta (concentrada entre 22 e 35 anos), majoritariamente masculina (64,76%) e majoritariamente alocada na 3ª classe (55,11%), condizente com o perfil de uma viagem transatlântica de 1912 marcada pela presença expressiva de emigrantes. A situação econômica dos passageiros, refletida na classe e na tarifa paga, era muito desigual: a 1ª classe pagava em média mais de seis vezes o valor da 3ª classe.</w:t>
      </w:r>
    </w:p>
    <w:p>
      <w:pPr>
        <w:spacing w:after="200"/>
        <w:jc w:val="both"/>
      </w:pPr>
      <w:r>
        <w:t xml:space="preserve">Mais importante, a análise mostra que a sobrevivência ao naufrágio não se distribuiu de forma aleatória entre os passageiros. O fator mais fortemente associado à sobrevivência foi o sexo — mulheres sobreviveram a uma taxa quatro vezes maior que os homens — enquanto a idade, isoladamente, mostrou pouca diferença entre sobreviventes e não sobreviventes. A investigação livre, ao combinar sexo e estado civil por meio do título de tratamento, reforçou esse padrão: mulheres casadas e meninos tiveram taxas de sobrevivência bem mais altas que homens adultos. Em conjunto, os resultados são consistentes com o relato histórico de que a evacuação seguiu, ainda que de forma imperfeita, o princípio de priorizar mulheres e crianças. É importante ressaltar que esta é uma análise descritiva e observacional: as associações encontradas indicam padrões fortes nos dados, mas não permitem, por si só, afirmar relações de causa e efeito sem testes estatísticos inferenciais adicionais.</w:t>
      </w:r>
    </w:p>
    <w:p>
      <w:pPr>
        <w:pStyle w:val="Heading1"/>
        <w:spacing w:after="200" w:before="400"/>
      </w:pPr>
      <w:r>
        <w:t xml:space="preserve">9. Referências</w:t>
      </w:r>
    </w:p>
    <w:p>
      <w:pPr>
        <w:pStyle w:val="ListParagraph"/>
        <w:numPr>
          <w:ilvl w:val="0"/>
          <w:numId w:val="1"/>
        </w:numPr>
        <w:spacing w:after="100"/>
      </w:pPr>
      <w:r>
        <w:t xml:space="preserve">Base de dados: Titanic - Machine Learning from Disaster, Kaggle.</w:t>
      </w:r>
    </w:p>
    <w:p>
      <w:pPr>
        <w:pStyle w:val="ListParagraph"/>
        <w:numPr>
          <w:ilvl w:val="0"/>
          <w:numId w:val="1"/>
        </w:numPr>
        <w:spacing w:after="100"/>
      </w:pPr>
      <w:r>
        <w:t xml:space="preserve">Bibliotecas utilizadas: Python (pandas, numpy, matplotlib, seaborn, scipy).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85a37c2c3d75c87a01d34595df080dc5d3ef5d.png"/><Relationship Id="rId8" Type="http://schemas.openxmlformats.org/officeDocument/2006/relationships/image" Target="media/699a3978925f58f5d493bac37f50ef8dcef8a4f2.png"/><Relationship Id="rId9" Type="http://schemas.openxmlformats.org/officeDocument/2006/relationships/image" Target="media/f5fac714a757fc2afe04a4175b9368761a2389c0.png"/><Relationship Id="rId10" Type="http://schemas.openxmlformats.org/officeDocument/2006/relationships/image" Target="media/9c4276380f77bf31d0eb580ebd909905f97cb9ef.png"/><Relationship Id="rId11" Type="http://schemas.openxmlformats.org/officeDocument/2006/relationships/image" Target="media/68d1360a43324edb02db41abc018d323fbd84693.png"/><Relationship Id="rId12" Type="http://schemas.openxmlformats.org/officeDocument/2006/relationships/image" Target="media/ab33415309c592938c3b01e18704c4d40e9d4e82.png"/><Relationship Id="rId13" Type="http://schemas.openxmlformats.org/officeDocument/2006/relationships/image" Target="media/629770197207e6af02738bbd7b11f04d643879ce.png"/><Relationship Id="rId14" Type="http://schemas.openxmlformats.org/officeDocument/2006/relationships/image" Target="media/8a378cce925c80862ae2a37f532fd7e4ba5427f5.png"/><Relationship Id="rId15" Type="http://schemas.openxmlformats.org/officeDocument/2006/relationships/image" Target="media/8092d3fe60d64e61638db09bd5719ab9d4ead5e0.png"/><Relationship Id="rId16" Type="http://schemas.openxmlformats.org/officeDocument/2006/relationships/image" Target="media/e91983a86694595abcbff3f333ee491a5bc93e85.png"/><Relationship Id="rId17" Type="http://schemas.openxmlformats.org/officeDocument/2006/relationships/image" Target="media/10e8e9d1a7c4837c5dc41a467b9721cc6f33436d.png"/><Relationship Id="rId18" Type="http://schemas.openxmlformats.org/officeDocument/2006/relationships/image" Target="media/afcfcfd26ce9098a2d7b8b144462d899f62a36d9.png"/><Relationship Id="rId19" Type="http://schemas.openxmlformats.org/officeDocument/2006/relationships/image" Target="media/9073af976abf757d687189e06054d823dbc54ea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2026-09-19T19:55:30.437Z</dcterms:created>
  <dcterms:modified xsi:type="dcterms:W3CDTF">2026-09-19T19:55:30.445Z</dcterms:modified>
</cp:coreProperties>
</file>

<file path=docProps/custom.xml><?xml version="1.0" encoding="utf-8"?>
<Properties xmlns="http://schemas.openxmlformats.org/officeDocument/2006/custom-properties" xmlns:vt="http://schemas.openxmlformats.org/officeDocument/2006/docPropsVTypes"/>
</file>