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400" w:lineRule="auto"/>
        <w:rPr>
          <w:color w:val="2e75b6"/>
          <w:sz w:val="50"/>
          <w:szCs w:val="50"/>
        </w:rPr>
      </w:pPr>
      <w:r w:rsidDel="00000000" w:rsidR="00000000" w:rsidRPr="00000000">
        <w:rPr>
          <w:rtl w:val="0"/>
        </w:rPr>
      </w:r>
    </w:p>
    <w:p w:rsidR="00000000" w:rsidDel="00000000" w:rsidP="00000000" w:rsidRDefault="00000000" w:rsidRPr="00000000" w14:paraId="00000003">
      <w:pPr>
        <w:spacing w:after="400" w:lineRule="auto"/>
        <w:rPr>
          <w:color w:val="2e75b6"/>
          <w:sz w:val="50"/>
          <w:szCs w:val="50"/>
        </w:rPr>
      </w:pPr>
      <w:r w:rsidDel="00000000" w:rsidR="00000000" w:rsidRPr="00000000">
        <w:rPr>
          <w:rtl w:val="0"/>
        </w:rPr>
      </w:r>
    </w:p>
    <w:p w:rsidR="00000000" w:rsidDel="00000000" w:rsidP="00000000" w:rsidRDefault="00000000" w:rsidRPr="00000000" w14:paraId="00000004">
      <w:pPr>
        <w:spacing w:after="400" w:lineRule="auto"/>
        <w:rPr>
          <w:rFonts w:ascii="Calibri" w:cs="Calibri" w:eastAsia="Calibri" w:hAnsi="Calibri"/>
          <w:b w:val="0"/>
          <w:bCs w:val="0"/>
          <w:color w:val="2e75b6"/>
          <w:sz w:val="50"/>
          <w:szCs w:val="50"/>
        </w:rPr>
      </w:pPr>
      <w:r w:rsidDel="00000000" w:rsidR="00000000" w:rsidRPr="00000000">
        <w:rPr>
          <w:rFonts w:ascii="Calibri" w:cs="Calibri" w:eastAsia="Calibri" w:hAnsi="Calibri"/>
          <w:b w:val="0"/>
          <w:bCs w:val="0"/>
          <w:color w:val="2e75b6"/>
          <w:sz w:val="50"/>
          <w:szCs w:val="50"/>
          <w:rtl w:val="0"/>
        </w:rPr>
        <w:t xml:space="preserve">Artificial Intelligence Risk Management Policy</w:t>
      </w:r>
    </w:p>
    <w:p w:rsidR="00000000" w:rsidDel="00000000" w:rsidP="00000000" w:rsidRDefault="00000000" w:rsidRPr="00000000" w14:paraId="00000005">
      <w:pPr>
        <w:spacing w:before="200" w:lineRule="auto"/>
        <w:rPr/>
      </w:pPr>
      <w:r w:rsidDel="00000000" w:rsidR="00000000" w:rsidRPr="00000000">
        <w:rPr>
          <w:rtl w:val="0"/>
        </w:rPr>
      </w:r>
    </w:p>
    <w:p w:rsidR="00000000" w:rsidDel="00000000" w:rsidP="00000000" w:rsidRDefault="00000000" w:rsidRPr="00000000" w14:paraId="00000006">
      <w:pPr>
        <w:spacing w:after="100" w:lineRule="auto"/>
        <w:ind w:left="2880" w:firstLine="720"/>
        <w:rPr/>
      </w:pPr>
      <w:r w:rsidDel="00000000" w:rsidR="00000000" w:rsidRPr="00000000">
        <w:rPr>
          <w:b w:val="1"/>
          <w:bCs w:val="1"/>
          <w:color w:val="1f4e79"/>
          <w:sz w:val="34"/>
          <w:szCs w:val="34"/>
          <w:rtl w:val="0"/>
        </w:rPr>
        <w:t xml:space="preserve">[COMPANY NAME]</w:t>
      </w:r>
      <w:r w:rsidDel="00000000" w:rsidR="00000000" w:rsidRPr="00000000">
        <w:rPr>
          <w:rtl w:val="0"/>
        </w:rPr>
      </w:r>
    </w:p>
    <w:p w:rsidR="00000000" w:rsidDel="00000000" w:rsidP="00000000" w:rsidRDefault="00000000" w:rsidRPr="00000000" w14:paraId="00000007">
      <w:pPr>
        <w:ind w:left="360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8">
      <w:pPr>
        <w:spacing w:after="400" w:lineRule="auto"/>
        <w:ind w:left="2880" w:firstLine="0"/>
        <w:rPr/>
      </w:pPr>
      <w:r w:rsidDel="00000000" w:rsidR="00000000" w:rsidRPr="00000000">
        <w:rPr>
          <w:b w:val="1"/>
          <w:bCs w:val="1"/>
          <w:color w:val="1f4e79"/>
          <w:sz w:val="34"/>
          <w:szCs w:val="34"/>
          <w:rtl w:val="0"/>
        </w:rPr>
        <w:tab/>
        <w:t xml:space="preserve">   </w:t>
      </w:r>
      <w:r w:rsidDel="00000000" w:rsidR="00000000" w:rsidRPr="00000000">
        <w:rPr>
          <w:b w:val="1"/>
          <w:bCs w:val="1"/>
          <w:color w:val="1f4e79"/>
          <w:sz w:val="28"/>
          <w:szCs w:val="28"/>
          <w:rtl w:val="0"/>
        </w:rPr>
        <w:t xml:space="preserve">Date:[mm/dd/yy]</w:t>
      </w:r>
      <w:r w:rsidDel="00000000" w:rsidR="00000000" w:rsidRPr="00000000">
        <w:rPr>
          <w:rtl w:val="0"/>
        </w:rPr>
      </w:r>
    </w:p>
    <w:p w:rsidR="00000000" w:rsidDel="00000000" w:rsidP="00000000" w:rsidRDefault="00000000" w:rsidRPr="00000000" w14:paraId="00000009">
      <w:pPr>
        <w:spacing w:after="400" w:lineRule="auto"/>
        <w:ind w:left="2880" w:firstLine="0"/>
        <w:rPr/>
      </w:pPr>
      <w:r w:rsidDel="00000000" w:rsidR="00000000" w:rsidRPr="00000000">
        <w:rPr>
          <w:rtl w:val="0"/>
        </w:rPr>
      </w:r>
    </w:p>
    <w:p w:rsidR="00000000" w:rsidDel="00000000" w:rsidP="00000000" w:rsidRDefault="00000000" w:rsidRPr="00000000" w14:paraId="0000000A">
      <w:pPr>
        <w:spacing w:after="400" w:lineRule="auto"/>
        <w:ind w:left="2880" w:firstLine="0"/>
        <w:rPr/>
      </w:pPr>
      <w:r w:rsidDel="00000000" w:rsidR="00000000" w:rsidRPr="00000000">
        <w:rPr>
          <w:rtl w:val="0"/>
        </w:rPr>
      </w:r>
    </w:p>
    <w:p w:rsidR="00000000" w:rsidDel="00000000" w:rsidP="00000000" w:rsidRDefault="00000000" w:rsidRPr="00000000" w14:paraId="0000000B">
      <w:pPr>
        <w:spacing w:after="400" w:lineRule="auto"/>
        <w:ind w:left="2880" w:firstLine="0"/>
        <w:rPr/>
      </w:pPr>
      <w:r w:rsidDel="00000000" w:rsidR="00000000" w:rsidRPr="00000000">
        <w:rPr>
          <w:rtl w:val="0"/>
        </w:rPr>
      </w:r>
    </w:p>
    <w:p w:rsidR="00000000" w:rsidDel="00000000" w:rsidP="00000000" w:rsidRDefault="00000000" w:rsidRPr="00000000" w14:paraId="0000000C">
      <w:pPr>
        <w:spacing w:after="400" w:lineRule="auto"/>
        <w:ind w:left="2880" w:firstLine="0"/>
        <w:rPr/>
      </w:pPr>
      <w:r w:rsidDel="00000000" w:rsidR="00000000" w:rsidRPr="00000000">
        <w:rPr>
          <w:rtl w:val="0"/>
        </w:rPr>
      </w:r>
    </w:p>
    <w:p w:rsidR="00000000" w:rsidDel="00000000" w:rsidP="00000000" w:rsidRDefault="00000000" w:rsidRPr="00000000" w14:paraId="0000000D">
      <w:pPr>
        <w:spacing w:after="400" w:lineRule="auto"/>
        <w:ind w:left="2880" w:firstLine="0"/>
        <w:rPr/>
      </w:pPr>
      <w:r w:rsidDel="00000000" w:rsidR="00000000" w:rsidRPr="00000000">
        <w:rPr>
          <w:rtl w:val="0"/>
        </w:rPr>
      </w:r>
    </w:p>
    <w:p w:rsidR="00000000" w:rsidDel="00000000" w:rsidP="00000000" w:rsidRDefault="00000000" w:rsidRPr="00000000" w14:paraId="0000000E">
      <w:pPr>
        <w:spacing w:after="400" w:lineRule="auto"/>
        <w:ind w:left="2880" w:firstLine="0"/>
        <w:rPr/>
      </w:pPr>
      <w:r w:rsidDel="00000000" w:rsidR="00000000" w:rsidRPr="00000000">
        <w:rPr>
          <w:rtl w:val="0"/>
        </w:rPr>
      </w:r>
    </w:p>
    <w:p w:rsidR="00000000" w:rsidDel="00000000" w:rsidP="00000000" w:rsidRDefault="00000000" w:rsidRPr="00000000" w14:paraId="0000000F">
      <w:pPr>
        <w:spacing w:after="400" w:lineRule="auto"/>
        <w:ind w:left="2880" w:firstLine="0"/>
        <w:rPr/>
      </w:pPr>
      <w:r w:rsidDel="00000000" w:rsidR="00000000" w:rsidRPr="00000000">
        <w:rPr>
          <w:rtl w:val="0"/>
        </w:rPr>
      </w:r>
    </w:p>
    <w:p w:rsidR="00000000" w:rsidDel="00000000" w:rsidP="00000000" w:rsidRDefault="00000000" w:rsidRPr="00000000" w14:paraId="00000010">
      <w:pPr>
        <w:spacing w:after="400" w:lineRule="auto"/>
        <w:ind w:left="2880" w:firstLine="0"/>
        <w:rPr/>
      </w:pPr>
      <w:r w:rsidDel="00000000" w:rsidR="00000000" w:rsidRPr="00000000">
        <w:rPr>
          <w:rtl w:val="0"/>
        </w:rPr>
      </w:r>
    </w:p>
    <w:p w:rsidR="00000000" w:rsidDel="00000000" w:rsidP="00000000" w:rsidRDefault="00000000" w:rsidRPr="00000000" w14:paraId="00000011">
      <w:pPr>
        <w:spacing w:after="400" w:lineRule="auto"/>
        <w:ind w:left="2880" w:firstLine="0"/>
        <w:rPr/>
      </w:pPr>
      <w:r w:rsidDel="00000000" w:rsidR="00000000" w:rsidRPr="00000000">
        <w:rPr>
          <w:rtl w:val="0"/>
        </w:rPr>
      </w:r>
    </w:p>
    <w:p w:rsidR="00000000" w:rsidDel="00000000" w:rsidP="00000000" w:rsidRDefault="00000000" w:rsidRPr="00000000" w14:paraId="00000012">
      <w:pPr>
        <w:spacing w:after="400" w:lineRule="auto"/>
        <w:ind w:left="2880" w:firstLine="0"/>
        <w:rPr/>
      </w:pPr>
      <w:r w:rsidDel="00000000" w:rsidR="00000000" w:rsidRPr="00000000">
        <w:rPr>
          <w:rtl w:val="0"/>
        </w:rPr>
      </w:r>
    </w:p>
    <w:p w:rsidR="00000000" w:rsidDel="00000000" w:rsidP="00000000" w:rsidRDefault="00000000" w:rsidRPr="00000000" w14:paraId="00000013">
      <w:pPr>
        <w:spacing w:after="40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60" w:before="200" w:lineRule="auto"/>
        <w:rPr/>
      </w:pPr>
      <w:r w:rsidDel="00000000" w:rsidR="00000000" w:rsidRPr="00000000">
        <w:rPr>
          <w:rFonts w:ascii="Calibri" w:cs="Calibri" w:eastAsia="Calibri" w:hAnsi="Calibri"/>
          <w:b w:val="1"/>
          <w:bCs w:val="1"/>
          <w:color w:val="2e75b6"/>
          <w:sz w:val="26"/>
          <w:szCs w:val="26"/>
          <w:rtl w:val="0"/>
        </w:rPr>
        <w:t xml:space="preserve">DOCUMENT CONTROL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b w:val="1"/>
                <w:bCs w:val="1"/>
                <w:sz w:val="21"/>
                <w:szCs w:val="21"/>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Calibri" w:cs="Calibri" w:eastAsia="Calibri" w:hAnsi="Calibri"/>
                <w:color w:val="000000"/>
                <w:sz w:val="21"/>
                <w:szCs w:val="21"/>
                <w:rtl w:val="0"/>
              </w:rPr>
              <w:t xml:space="preserve">POL-AI-02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000000"/>
                <w:sz w:val="21"/>
                <w:szCs w:val="21"/>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Fonts w:ascii="Calibri" w:cs="Calibri" w:eastAsia="Calibri" w:hAnsi="Calibri"/>
                <w:color w:val="000000"/>
                <w:sz w:val="21"/>
                <w:szCs w:val="21"/>
                <w:rtl w:val="0"/>
              </w:rPr>
              <w:t xml:space="preserve">Artificial Intelligence Risk Management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000000"/>
                <w:sz w:val="21"/>
                <w:szCs w:val="21"/>
                <w:rtl w:val="0"/>
              </w:rPr>
              <w:t xml:space="preserve">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Calibri" w:cs="Calibri" w:eastAsia="Calibri" w:hAnsi="Calibri"/>
                <w:color w:val="000000"/>
                <w:sz w:val="21"/>
                <w:szCs w:val="21"/>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000000"/>
                <w:sz w:val="21"/>
                <w:szCs w:val="21"/>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spacing w:after="0" w:before="120" w:lineRule="auto"/>
        <w:rPr/>
      </w:pPr>
      <w:r w:rsidDel="00000000" w:rsidR="00000000" w:rsidRPr="00000000">
        <w:rPr>
          <w:rtl w:val="0"/>
        </w:rPr>
      </w:r>
    </w:p>
    <w:p w:rsidR="00000000" w:rsidDel="00000000" w:rsidP="00000000" w:rsidRDefault="00000000" w:rsidRPr="00000000" w14:paraId="00000021">
      <w:pPr>
        <w:spacing w:after="160" w:before="200" w:lineRule="auto"/>
        <w:rPr/>
      </w:pPr>
      <w:r w:rsidDel="00000000" w:rsidR="00000000" w:rsidRPr="00000000">
        <w:rPr>
          <w:rFonts w:ascii="Calibri" w:cs="Calibri" w:eastAsia="Calibri" w:hAnsi="Calibri"/>
          <w:b w:val="1"/>
          <w:bCs w:val="1"/>
          <w:color w:val="2e75b6"/>
          <w:sz w:val="26"/>
          <w:szCs w:val="26"/>
          <w:rtl w:val="0"/>
        </w:rPr>
        <w:t xml:space="preserve">REVISION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1800"/>
        <w:gridCol w:w="2760"/>
        <w:tblGridChange w:id="0">
          <w:tblGrid>
            <w:gridCol w:w="1200"/>
            <w:gridCol w:w="1800"/>
            <w:gridCol w:w="1800"/>
            <w:gridCol w:w="1800"/>
            <w:gridCol w:w="2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ffffff"/>
                <w:sz w:val="20"/>
                <w:szCs w:val="20"/>
                <w:rtl w:val="0"/>
              </w:rPr>
              <w:t xml:space="preserve">Revision 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ffffff"/>
                <w:sz w:val="20"/>
                <w:szCs w:val="20"/>
                <w:rtl w:val="0"/>
              </w:rPr>
              <w:t xml:space="preserve">Revision Date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ffffff"/>
                <w:sz w:val="20"/>
                <w:szCs w:val="20"/>
                <w:rtl w:val="0"/>
              </w:rPr>
              <w:t xml:space="preserve">Reviewed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ffffff"/>
                <w:sz w:val="20"/>
                <w:szCs w:val="20"/>
                <w:rtl w:val="0"/>
              </w:rPr>
              <w:t xml:space="preserve">Approved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color w:val="ffffff"/>
                <w:sz w:val="20"/>
                <w:szCs w:val="20"/>
                <w:rtl w:val="0"/>
              </w:rPr>
              <w:t xml:space="preserve">Revision Description</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7">
            <w:pPr>
              <w:jc w:val="center"/>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8">
            <w:pPr>
              <w:jc w:val="center"/>
              <w:rPr/>
            </w:pPr>
            <w:r w:rsidDel="00000000" w:rsidR="00000000" w:rsidRPr="00000000">
              <w:rPr>
                <w:rFonts w:ascii="Calibri" w:cs="Calibri" w:eastAsia="Calibri" w:hAnsi="Calibri"/>
                <w:color w:val="000000"/>
                <w:sz w:val="20"/>
                <w:szCs w:val="20"/>
                <w:rtl w:val="0"/>
              </w:rPr>
              <w:t xml:space="preserve">[DD/MM/YYYY]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9">
            <w:pPr>
              <w:jc w:val="center"/>
              <w:rPr/>
            </w:pPr>
            <w:r w:rsidDel="00000000" w:rsidR="00000000" w:rsidRPr="00000000">
              <w:rPr>
                <w:rFonts w:ascii="Calibri" w:cs="Calibri" w:eastAsia="Calibri" w:hAnsi="Calibri"/>
                <w:color w:val="000000"/>
                <w:sz w:val="20"/>
                <w:szCs w:val="20"/>
                <w:rtl w:val="0"/>
              </w:rPr>
              <w:t xml:space="preserve">[Reviewer]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A">
            <w:pPr>
              <w:jc w:val="center"/>
              <w:rPr/>
            </w:pPr>
            <w:r w:rsidDel="00000000" w:rsidR="00000000" w:rsidRPr="00000000">
              <w:rPr>
                <w:rFonts w:ascii="Calibri" w:cs="Calibri" w:eastAsia="Calibri" w:hAnsi="Calibri"/>
                <w:color w:val="000000"/>
                <w:sz w:val="20"/>
                <w:szCs w:val="20"/>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B">
            <w:pPr>
              <w:jc w:val="center"/>
              <w:rPr/>
            </w:pPr>
            <w:r w:rsidDel="00000000" w:rsidR="00000000" w:rsidRPr="00000000">
              <w:rPr>
                <w:rFonts w:ascii="Calibri" w:cs="Calibri" w:eastAsia="Calibri" w:hAnsi="Calibri"/>
                <w:color w:val="000000"/>
                <w:sz w:val="20"/>
                <w:szCs w:val="20"/>
                <w:rtl w:val="0"/>
              </w:rPr>
              <w:t xml:space="preserve">Initial Document</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color w:val="000000"/>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D">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E">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F">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0">
            <w:pPr>
              <w:jc w:val="center"/>
              <w:rPr/>
            </w:pP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2">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3">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4">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5">
            <w:pPr>
              <w:jc w:val="center"/>
              <w:rPr/>
            </w:pPr>
            <w:r w:rsidDel="00000000" w:rsidR="00000000" w:rsidRPr="00000000">
              <w:rPr>
                <w:rtl w:val="0"/>
              </w:rPr>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ind w:left="2880" w:firstLine="720"/>
        <w:rPr/>
      </w:pPr>
      <w:bookmarkStart w:colFirst="0" w:colLast="0" w:name="_7nnmxlkft7q6" w:id="0"/>
      <w:bookmarkEnd w:id="0"/>
      <w:r w:rsidDel="00000000" w:rsidR="00000000" w:rsidRPr="00000000">
        <w:rPr>
          <w:rtl w:val="0"/>
        </w:rPr>
        <w:t xml:space="preserve">Table of Contents</w:t>
      </w:r>
    </w:p>
    <w:p w:rsidR="00000000" w:rsidDel="00000000" w:rsidP="00000000" w:rsidRDefault="00000000" w:rsidRPr="00000000" w14:paraId="00000039">
      <w:pPr>
        <w:rPr/>
      </w:pPr>
      <w:r w:rsidDel="00000000" w:rsidR="00000000" w:rsidRPr="00000000">
        <w:rPr>
          <w:rtl w:val="0"/>
        </w:rPr>
      </w:r>
    </w:p>
    <w:sdt>
      <w:sdtPr>
        <w:id w:val="-1682586719"/>
        <w:docPartObj>
          <w:docPartGallery w:val="Table of Contents"/>
          <w:docPartUnique w:val="1"/>
        </w:docPartObj>
      </w:sdtPr>
      <w:sdtContent>
        <w:p w:rsidR="00000000" w:rsidDel="00000000" w:rsidP="00000000" w:rsidRDefault="00000000" w:rsidRPr="00000000" w14:paraId="0000003A">
          <w:pPr>
            <w:widowControl w:val="0"/>
            <w:tabs>
              <w:tab w:val="right" w:leader="none" w:pos="972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02.1   PURPOSE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02.2   SCOPE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02.3   POLICY DETAILS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02.3.1   AI Risk Classification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02.3.2   Risk Assessment Process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02.3.3   Risk Treatment Strategies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02.3.4   AI Risk Register</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02.3.5   Continuous Risk Monitoring</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02.3.6   Incident Response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02.3.7   Third-Party AI Risk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02.4   POLICY VIOLATIONS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02.5   EXCEPTIONS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02.6   POLICY REVIEW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1"/>
        <w:spacing w:after="120" w:before="320" w:lineRule="auto"/>
        <w:rPr/>
      </w:pPr>
      <w:r w:rsidDel="00000000" w:rsidR="00000000" w:rsidRPr="00000000">
        <w:rPr>
          <w:rtl w:val="0"/>
        </w:rPr>
      </w:r>
    </w:p>
    <w:p w:rsidR="00000000" w:rsidDel="00000000" w:rsidP="00000000" w:rsidRDefault="00000000" w:rsidRPr="00000000" w14:paraId="00000048">
      <w:pPr>
        <w:pStyle w:val="Heading1"/>
        <w:spacing w:after="120" w:before="320" w:lineRule="auto"/>
        <w:rPr/>
      </w:pPr>
      <w:r w:rsidDel="00000000" w:rsidR="00000000" w:rsidRPr="00000000">
        <w:rPr>
          <w:rtl w:val="0"/>
        </w:rPr>
      </w:r>
    </w:p>
    <w:p w:rsidR="00000000" w:rsidDel="00000000" w:rsidP="00000000" w:rsidRDefault="00000000" w:rsidRPr="00000000" w14:paraId="00000049">
      <w:pPr>
        <w:pStyle w:val="Heading1"/>
        <w:spacing w:after="120" w:before="320" w:lineRule="auto"/>
        <w:rPr/>
      </w:pPr>
      <w:r w:rsidDel="00000000" w:rsidR="00000000" w:rsidRPr="00000000">
        <w:rPr>
          <w:rtl w:val="0"/>
        </w:rPr>
      </w:r>
    </w:p>
    <w:p w:rsidR="00000000" w:rsidDel="00000000" w:rsidP="00000000" w:rsidRDefault="00000000" w:rsidRPr="00000000" w14:paraId="0000004A">
      <w:pPr>
        <w:pStyle w:val="Heading1"/>
        <w:spacing w:after="120" w:before="320" w:lineRule="auto"/>
        <w:rPr/>
      </w:pPr>
      <w:r w:rsidDel="00000000" w:rsidR="00000000" w:rsidRPr="00000000">
        <w:rPr>
          <w:rtl w:val="0"/>
        </w:rPr>
      </w:r>
    </w:p>
    <w:p w:rsidR="00000000" w:rsidDel="00000000" w:rsidP="00000000" w:rsidRDefault="00000000" w:rsidRPr="00000000" w14:paraId="0000004B">
      <w:pPr>
        <w:pStyle w:val="Heading1"/>
        <w:spacing w:after="120" w:before="320" w:lineRule="auto"/>
        <w:rPr/>
      </w:pPr>
      <w:r w:rsidDel="00000000" w:rsidR="00000000" w:rsidRPr="00000000">
        <w:rPr>
          <w:rtl w:val="0"/>
        </w:rPr>
      </w:r>
    </w:p>
    <w:p w:rsidR="00000000" w:rsidDel="00000000" w:rsidP="00000000" w:rsidRDefault="00000000" w:rsidRPr="00000000" w14:paraId="0000004C">
      <w:pPr>
        <w:pStyle w:val="Heading1"/>
        <w:spacing w:after="120" w:before="320" w:lineRule="auto"/>
        <w:rPr/>
      </w:pPr>
      <w:r w:rsidDel="00000000" w:rsidR="00000000" w:rsidRPr="00000000">
        <w:rPr>
          <w:rtl w:val="0"/>
        </w:rPr>
      </w:r>
    </w:p>
    <w:p w:rsidR="00000000" w:rsidDel="00000000" w:rsidP="00000000" w:rsidRDefault="00000000" w:rsidRPr="00000000" w14:paraId="0000004D">
      <w:pPr>
        <w:pStyle w:val="Heading1"/>
        <w:spacing w:after="120" w:before="320" w:lineRule="auto"/>
        <w:rPr/>
      </w:pPr>
      <w:r w:rsidDel="00000000" w:rsidR="00000000" w:rsidRPr="00000000">
        <w:rPr>
          <w:rtl w:val="0"/>
        </w:rPr>
      </w:r>
    </w:p>
    <w:p w:rsidR="00000000" w:rsidDel="00000000" w:rsidP="00000000" w:rsidRDefault="00000000" w:rsidRPr="00000000" w14:paraId="0000004E">
      <w:pPr>
        <w:pStyle w:val="Heading1"/>
        <w:spacing w:after="120" w:before="320" w:lineRule="auto"/>
        <w:rPr/>
      </w:pPr>
      <w:r w:rsidDel="00000000" w:rsidR="00000000" w:rsidRPr="00000000">
        <w:rPr>
          <w:rtl w:val="0"/>
        </w:rPr>
      </w:r>
    </w:p>
    <w:p w:rsidR="00000000" w:rsidDel="00000000" w:rsidP="00000000" w:rsidRDefault="00000000" w:rsidRPr="00000000" w14:paraId="0000004F">
      <w:pPr>
        <w:pStyle w:val="Heading1"/>
        <w:spacing w:after="120" w:before="320" w:lineRule="auto"/>
        <w:rPr/>
      </w:pPr>
      <w:r w:rsidDel="00000000" w:rsidR="00000000" w:rsidRPr="00000000">
        <w:rPr>
          <w:rtl w:val="0"/>
        </w:rPr>
      </w:r>
    </w:p>
    <w:p w:rsidR="00000000" w:rsidDel="00000000" w:rsidP="00000000" w:rsidRDefault="00000000" w:rsidRPr="00000000" w14:paraId="00000050">
      <w:pPr>
        <w:pStyle w:val="Heading1"/>
        <w:spacing w:after="120" w:before="320" w:lineRule="auto"/>
        <w:rPr/>
      </w:pPr>
      <w:r w:rsidDel="00000000" w:rsidR="00000000" w:rsidRPr="00000000">
        <w:rPr>
          <w:rtl w:val="0"/>
        </w:rPr>
      </w:r>
    </w:p>
    <w:p w:rsidR="00000000" w:rsidDel="00000000" w:rsidP="00000000" w:rsidRDefault="00000000" w:rsidRPr="00000000" w14:paraId="00000051">
      <w:pPr>
        <w:pStyle w:val="Heading1"/>
        <w:spacing w:after="120" w:before="320" w:lineRule="auto"/>
        <w:rPr/>
      </w:pPr>
      <w:r w:rsidDel="00000000" w:rsidR="00000000" w:rsidRPr="00000000">
        <w:rPr>
          <w:rtl w:val="0"/>
        </w:rPr>
      </w:r>
    </w:p>
    <w:p w:rsidR="00000000" w:rsidDel="00000000" w:rsidP="00000000" w:rsidRDefault="00000000" w:rsidRPr="00000000" w14:paraId="00000052">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02.1   PURPOSE</w:t>
      </w:r>
      <w:r w:rsidDel="00000000" w:rsidR="00000000" w:rsidRPr="00000000">
        <w:rPr>
          <w:rtl w:val="0"/>
        </w:rPr>
      </w:r>
    </w:p>
    <w:p w:rsidR="00000000" w:rsidDel="00000000" w:rsidP="00000000" w:rsidRDefault="00000000" w:rsidRPr="00000000" w14:paraId="00000053">
      <w:pPr>
        <w:spacing w:after="120" w:lineRule="auto"/>
        <w:jc w:val="both"/>
        <w:rPr/>
      </w:pPr>
      <w:r w:rsidDel="00000000" w:rsidR="00000000" w:rsidRPr="00000000">
        <w:rPr>
          <w:rFonts w:ascii="Calibri" w:cs="Calibri" w:eastAsia="Calibri" w:hAnsi="Calibri"/>
          <w:color w:val="000000"/>
          <w:sz w:val="22"/>
          <w:szCs w:val="22"/>
          <w:rtl w:val="0"/>
        </w:rPr>
        <w:t xml:space="preserve">This AI Risk Management Policy establishes [COMPANY NAME]'s framework for identifying, assessing, treating, monitoring, and reporting risks associated with artificial intelligence (AI) and machine learning (ML) systems throughout their full lifecycle. It operationalises the risk principles of the AI Governance Policy (AI-GOV-POL-001).</w:t>
      </w:r>
      <w:r w:rsidDel="00000000" w:rsidR="00000000" w:rsidRPr="00000000">
        <w:rPr>
          <w:rtl w:val="0"/>
        </w:rPr>
      </w:r>
    </w:p>
    <w:p w:rsidR="00000000" w:rsidDel="00000000" w:rsidP="00000000" w:rsidRDefault="00000000" w:rsidRPr="00000000" w14:paraId="00000054">
      <w:pPr>
        <w:spacing w:after="120" w:lineRule="auto"/>
        <w:jc w:val="both"/>
        <w:rPr/>
      </w:pPr>
      <w:r w:rsidDel="00000000" w:rsidR="00000000" w:rsidRPr="00000000">
        <w:rPr>
          <w:rFonts w:ascii="Calibri" w:cs="Calibri" w:eastAsia="Calibri" w:hAnsi="Calibri"/>
          <w:color w:val="000000"/>
          <w:sz w:val="22"/>
          <w:szCs w:val="22"/>
          <w:rtl w:val="0"/>
        </w:rPr>
        <w:t xml:space="preserve">The purpose of this Policy is to: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structured, repeatable methodology for AI risk identification and assessment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risk classification tiers and the mandatory controls associated with each tier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clear ownership and escalation paths for AI risk management activities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AI risks are monitored continuously and treated proactively throughout the system lifecycle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 centralised AI Risk Register to enable governance reporting and regulatory audit readiness</w:t>
      </w:r>
    </w:p>
    <w:p w:rsidR="00000000" w:rsidDel="00000000" w:rsidP="00000000" w:rsidRDefault="00000000" w:rsidRPr="00000000" w14:paraId="0000005A">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02.2   SCOPE</w:t>
      </w:r>
      <w:r w:rsidDel="00000000" w:rsidR="00000000" w:rsidRPr="00000000">
        <w:rPr>
          <w:rtl w:val="0"/>
        </w:rPr>
      </w:r>
    </w:p>
    <w:p w:rsidR="00000000" w:rsidDel="00000000" w:rsidP="00000000" w:rsidRDefault="00000000" w:rsidRPr="00000000" w14:paraId="0000005B">
      <w:pPr>
        <w:spacing w:after="120" w:lineRule="auto"/>
        <w:jc w:val="both"/>
        <w:rPr/>
      </w:pPr>
      <w:r w:rsidDel="00000000" w:rsidR="00000000" w:rsidRPr="00000000">
        <w:rPr>
          <w:rFonts w:ascii="Calibri" w:cs="Calibri" w:eastAsia="Calibri" w:hAnsi="Calibri"/>
          <w:color w:val="000000"/>
          <w:sz w:val="22"/>
          <w:szCs w:val="22"/>
          <w:rtl w:val="0"/>
        </w:rPr>
        <w:t xml:space="preserve">This Policy applies to all AI/ML systems, projects, and use cases developed, procured, or deployed by [COMPANY NAME], including third-party AI tools integrated into organisational workflows. It covers all risk domains: technical, ethical, legal, operational, and reputational.</w:t>
      </w:r>
      <w:r w:rsidDel="00000000" w:rsidR="00000000" w:rsidRPr="00000000">
        <w:rPr>
          <w:rtl w:val="0"/>
        </w:rPr>
      </w:r>
    </w:p>
    <w:p w:rsidR="00000000" w:rsidDel="00000000" w:rsidP="00000000" w:rsidRDefault="00000000" w:rsidRPr="00000000" w14:paraId="0000005C">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02.3   POLICY DETAILS</w:t>
      </w:r>
      <w:r w:rsidDel="00000000" w:rsidR="00000000" w:rsidRPr="00000000">
        <w:rPr>
          <w:rtl w:val="0"/>
        </w:rPr>
      </w:r>
    </w:p>
    <w:p w:rsidR="00000000" w:rsidDel="00000000" w:rsidP="00000000" w:rsidRDefault="00000000" w:rsidRPr="00000000" w14:paraId="0000005D">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02.3.1   AI Risk Classification</w:t>
      </w:r>
      <w:r w:rsidDel="00000000" w:rsidR="00000000" w:rsidRPr="00000000">
        <w:rPr>
          <w:rtl w:val="0"/>
        </w:rPr>
      </w:r>
    </w:p>
    <w:p w:rsidR="00000000" w:rsidDel="00000000" w:rsidP="00000000" w:rsidRDefault="00000000" w:rsidRPr="00000000" w14:paraId="0000005E">
      <w:pPr>
        <w:spacing w:after="120" w:lineRule="auto"/>
        <w:jc w:val="both"/>
        <w:rPr/>
      </w:pPr>
      <w:r w:rsidDel="00000000" w:rsidR="00000000" w:rsidRPr="00000000">
        <w:rPr>
          <w:rFonts w:ascii="Calibri" w:cs="Calibri" w:eastAsia="Calibri" w:hAnsi="Calibri"/>
          <w:color w:val="000000"/>
          <w:sz w:val="22"/>
          <w:szCs w:val="22"/>
          <w:rtl w:val="0"/>
        </w:rPr>
        <w:t xml:space="preserve">All AI systems must be classified prior to development or procurement using the following risk tiers, aligned with the EU AI Act and NIST AI RMF:</w:t>
      </w:r>
      <w:r w:rsidDel="00000000" w:rsidR="00000000" w:rsidRPr="00000000">
        <w:rPr>
          <w:rtl w:val="0"/>
        </w:rPr>
      </w:r>
    </w:p>
    <w:p w:rsidR="00000000" w:rsidDel="00000000" w:rsidP="00000000" w:rsidRDefault="00000000" w:rsidRPr="00000000" w14:paraId="0000005F">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3960"/>
        <w:tblGridChange w:id="0">
          <w:tblGrid>
            <w:gridCol w:w="1900"/>
            <w:gridCol w:w="3500"/>
            <w:gridCol w:w="3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20"/>
                <w:szCs w:val="20"/>
                <w:rtl w:val="0"/>
              </w:rPr>
              <w:t xml:space="preserve">Risk Tier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20"/>
                <w:szCs w:val="20"/>
                <w:rtl w:val="0"/>
              </w:rPr>
              <w:t xml:space="preserve">Definition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1f4e79"/>
                <w:sz w:val="20"/>
                <w:szCs w:val="20"/>
                <w:rtl w:val="0"/>
              </w:rPr>
              <w:t xml:space="preserve">Unacceptable / Prohibited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AI applications that violate fundamental rights or are banned by law or Company policy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Social scoring, subliminal manipulation, real-time biometric surveillance in prohibited jurisdictions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1f4e79"/>
                <w:sz w:val="20"/>
                <w:szCs w:val="20"/>
                <w:rtl w:val="0"/>
              </w:rPr>
              <w:t xml:space="preserve">High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20"/>
                <w:szCs w:val="20"/>
                <w:rtl w:val="0"/>
              </w:rPr>
              <w:t xml:space="preserve">AI systems with significant potential for harm to individuals or society; regulated categories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20"/>
                <w:szCs w:val="20"/>
                <w:rtl w:val="0"/>
              </w:rPr>
              <w:t xml:space="preserve">Hiring/firing decisions, credit scoring, medical diagnosis support, law enforcement tools, education assessment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b w:val="1"/>
                <w:bCs w:val="1"/>
                <w:color w:val="1f4e79"/>
                <w:sz w:val="20"/>
                <w:szCs w:val="20"/>
                <w:rtl w:val="0"/>
              </w:rPr>
              <w:t xml:space="preserve">Medium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20"/>
                <w:szCs w:val="20"/>
                <w:rtl w:val="0"/>
              </w:rPr>
              <w:t xml:space="preserve">Systems that interact with users or inform material decisions but with limited harm potential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20"/>
                <w:szCs w:val="20"/>
                <w:rtl w:val="0"/>
              </w:rPr>
              <w:t xml:space="preserve">Customer service chatbots, recommendation engines, internal HR productivity tools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1f4e79"/>
                <w:sz w:val="20"/>
                <w:szCs w:val="20"/>
                <w:rtl w:val="0"/>
              </w:rPr>
              <w:t xml:space="preserve">Low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20"/>
                <w:szCs w:val="20"/>
                <w:rtl w:val="0"/>
              </w:rPr>
              <w:t xml:space="preserve">Minimal potential for harm; limited external 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20"/>
                <w:szCs w:val="20"/>
                <w:rtl w:val="0"/>
              </w:rPr>
              <w:t xml:space="preserve">Internal data analytics, spell-checkers, scheduling automation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Calibri" w:cs="Calibri" w:eastAsia="Calibri" w:hAnsi="Calibri"/>
                <w:b w:val="1"/>
                <w:bCs w:val="1"/>
                <w:color w:val="1f4e79"/>
                <w:sz w:val="20"/>
                <w:szCs w:val="20"/>
                <w:rtl w:val="0"/>
              </w:rPr>
              <w:t xml:space="preserve">Minimal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000000"/>
                <w:sz w:val="20"/>
                <w:szCs w:val="20"/>
                <w:rtl w:val="0"/>
              </w:rPr>
              <w:t xml:space="preserve">Negligible impact on individuals; fully internal, non-consequential 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000000"/>
                <w:sz w:val="20"/>
                <w:szCs w:val="20"/>
                <w:rtl w:val="0"/>
              </w:rPr>
              <w:t xml:space="preserve">Spam filters, basic data formatting, document summarisation with human review</w:t>
            </w:r>
            <w:r w:rsidDel="00000000" w:rsidR="00000000" w:rsidRPr="00000000">
              <w:rPr>
                <w:rtl w:val="0"/>
              </w:rPr>
            </w:r>
          </w:p>
        </w:tc>
      </w:tr>
    </w:tbl>
    <w:p w:rsidR="00000000" w:rsidDel="00000000" w:rsidP="00000000" w:rsidRDefault="00000000" w:rsidRPr="00000000" w14:paraId="00000072">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02.3.2   Risk Assessment Process</w:t>
      </w:r>
      <w:r w:rsidDel="00000000" w:rsidR="00000000" w:rsidRPr="00000000">
        <w:rPr>
          <w:rtl w:val="0"/>
        </w:rPr>
      </w:r>
    </w:p>
    <w:p w:rsidR="00000000" w:rsidDel="00000000" w:rsidP="00000000" w:rsidRDefault="00000000" w:rsidRPr="00000000" w14:paraId="00000073">
      <w:pPr>
        <w:spacing w:after="120" w:lineRule="auto"/>
        <w:jc w:val="both"/>
        <w:rPr/>
      </w:pPr>
      <w:r w:rsidDel="00000000" w:rsidR="00000000" w:rsidRPr="00000000">
        <w:rPr>
          <w:rFonts w:ascii="Calibri" w:cs="Calibri" w:eastAsia="Calibri" w:hAnsi="Calibri"/>
          <w:color w:val="000000"/>
          <w:sz w:val="22"/>
          <w:szCs w:val="22"/>
          <w:rtl w:val="0"/>
        </w:rPr>
        <w:t xml:space="preserve">Prior to development or procurement, a structured AI Risk Assessment must be completed for all AI systems. The assessment covers the following risk domains:</w:t>
      </w:r>
      <w:r w:rsidDel="00000000" w:rsidR="00000000" w:rsidRPr="00000000">
        <w:rPr>
          <w:rtl w:val="0"/>
        </w:rPr>
      </w:r>
    </w:p>
    <w:p w:rsidR="00000000" w:rsidDel="00000000" w:rsidP="00000000" w:rsidRDefault="00000000" w:rsidRPr="00000000" w14:paraId="00000074">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Calibri" w:cs="Calibri" w:eastAsia="Calibri" w:hAnsi="Calibri"/>
                <w:b w:val="1"/>
                <w:bCs w:val="1"/>
                <w:color w:val="ffffff"/>
                <w:sz w:val="20"/>
                <w:szCs w:val="20"/>
                <w:rtl w:val="0"/>
              </w:rPr>
              <w:t xml:space="preserve">Risk Domain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Calibri" w:cs="Calibri" w:eastAsia="Calibri" w:hAnsi="Calibri"/>
                <w:b w:val="1"/>
                <w:bCs w:val="1"/>
                <w:color w:val="1f4e79"/>
                <w:sz w:val="20"/>
                <w:szCs w:val="20"/>
                <w:rtl w:val="0"/>
              </w:rPr>
              <w:t xml:space="preserve">Technical Risks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Calibri" w:cs="Calibri" w:eastAsia="Calibri" w:hAnsi="Calibri"/>
                <w:color w:val="000000"/>
                <w:sz w:val="20"/>
                <w:szCs w:val="20"/>
                <w:rtl w:val="0"/>
              </w:rPr>
              <w:t xml:space="preserve">Model failure modes, data quality, performance drift, adversarial attacks, system dependencies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1f4e79"/>
                <w:sz w:val="20"/>
                <w:szCs w:val="20"/>
                <w:rtl w:val="0"/>
              </w:rPr>
              <w:t xml:space="preserve">Ethical Risks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color w:val="000000"/>
                <w:sz w:val="20"/>
                <w:szCs w:val="20"/>
                <w:rtl w:val="0"/>
              </w:rPr>
              <w:t xml:space="preserve">Bias, fairness gaps, transparency deficiencies, explainability limitations, autonomy violations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b w:val="1"/>
                <w:bCs w:val="1"/>
                <w:color w:val="1f4e79"/>
                <w:sz w:val="20"/>
                <w:szCs w:val="20"/>
                <w:rtl w:val="0"/>
              </w:rPr>
              <w:t xml:space="preserve">Legal &amp; Regulatory Risks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color w:val="000000"/>
                <w:sz w:val="20"/>
                <w:szCs w:val="20"/>
                <w:rtl w:val="0"/>
              </w:rPr>
              <w:t xml:space="preserve">Non-compliance with applicable law, liability exposure, intellectual property issues, data subject rights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Calibri" w:cs="Calibri" w:eastAsia="Calibri" w:hAnsi="Calibri"/>
                <w:b w:val="1"/>
                <w:bCs w:val="1"/>
                <w:color w:val="1f4e79"/>
                <w:sz w:val="20"/>
                <w:szCs w:val="20"/>
                <w:rtl w:val="0"/>
              </w:rPr>
              <w:t xml:space="preserve">Operational Risks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color w:val="000000"/>
                <w:sz w:val="20"/>
                <w:szCs w:val="20"/>
                <w:rtl w:val="0"/>
              </w:rPr>
              <w:t xml:space="preserve">Vendor dependency, supply chain vulnerabilities, integration failures, business continuity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b w:val="1"/>
                <w:bCs w:val="1"/>
                <w:color w:val="1f4e79"/>
                <w:sz w:val="20"/>
                <w:szCs w:val="20"/>
                <w:rtl w:val="0"/>
              </w:rPr>
              <w:t xml:space="preserve">Reputational Risks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color w:val="000000"/>
                <w:sz w:val="20"/>
                <w:szCs w:val="20"/>
                <w:rtl w:val="0"/>
              </w:rPr>
              <w:t xml:space="preserve">Public trust erosion, media scrutiny, stakeholder harm, brand impact from AI failures</w:t>
            </w:r>
            <w:r w:rsidDel="00000000" w:rsidR="00000000" w:rsidRPr="00000000">
              <w:rPr>
                <w:rtl w:val="0"/>
              </w:rPr>
            </w:r>
          </w:p>
        </w:tc>
      </w:tr>
    </w:tbl>
    <w:p w:rsidR="00000000" w:rsidDel="00000000" w:rsidP="00000000" w:rsidRDefault="00000000" w:rsidRPr="00000000" w14:paraId="00000081">
      <w:pPr>
        <w:spacing w:after="0" w:before="60" w:lineRule="auto"/>
        <w:rPr/>
      </w:pPr>
      <w:r w:rsidDel="00000000" w:rsidR="00000000" w:rsidRPr="00000000">
        <w:rPr>
          <w:rtl w:val="0"/>
        </w:rPr>
      </w:r>
    </w:p>
    <w:p w:rsidR="00000000" w:rsidDel="00000000" w:rsidP="00000000" w:rsidRDefault="00000000" w:rsidRPr="00000000" w14:paraId="00000082">
      <w:pPr>
        <w:spacing w:after="120" w:lineRule="auto"/>
        <w:jc w:val="both"/>
        <w:rPr/>
      </w:pPr>
      <w:r w:rsidDel="00000000" w:rsidR="00000000" w:rsidRPr="00000000">
        <w:rPr>
          <w:rFonts w:ascii="Calibri" w:cs="Calibri" w:eastAsia="Calibri" w:hAnsi="Calibri"/>
          <w:color w:val="000000"/>
          <w:sz w:val="22"/>
          <w:szCs w:val="22"/>
          <w:rtl w:val="0"/>
        </w:rPr>
        <w:t xml:space="preserve">Each identified risk is scored using Likelihood (1–5) and Impact (1–5). The Risk Score (Likelihood × Impact) determines required treatment:</w:t>
      </w:r>
      <w:r w:rsidDel="00000000" w:rsidR="00000000" w:rsidRPr="00000000">
        <w:rPr>
          <w:rtl w:val="0"/>
        </w:rPr>
      </w:r>
    </w:p>
    <w:p w:rsidR="00000000" w:rsidDel="00000000" w:rsidP="00000000" w:rsidRDefault="00000000" w:rsidRPr="00000000" w14:paraId="00000083">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sz w:val="20"/>
                <w:szCs w:val="20"/>
                <w:rtl w:val="0"/>
              </w:rPr>
              <w:t xml:space="preserve">Risk Score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20"/>
                <w:szCs w:val="20"/>
                <w:rtl w:val="0"/>
              </w:rPr>
              <w:t xml:space="preserve">Rating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ffffff"/>
                <w:sz w:val="20"/>
                <w:szCs w:val="20"/>
                <w:rtl w:val="0"/>
              </w:rPr>
              <w:t xml:space="preserve">Required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color w:val="1f4e79"/>
                <w:sz w:val="20"/>
                <w:szCs w:val="20"/>
                <w:rtl w:val="0"/>
              </w:rPr>
              <w:t xml:space="preserve">15 – 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20"/>
                <w:szCs w:val="20"/>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20"/>
                <w:szCs w:val="20"/>
                <w:rtl w:val="0"/>
              </w:rPr>
              <w:t xml:space="preserve">Immediate escalation to AI Governance Lead; system must not deploy until resolved; executive notification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1f4e79"/>
                <w:sz w:val="20"/>
                <w:szCs w:val="20"/>
                <w:rtl w:val="0"/>
              </w:rPr>
              <w:t xml:space="preserve">8 –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20"/>
                <w:szCs w:val="20"/>
                <w:rtl w:val="0"/>
              </w:rPr>
              <w:t xml:space="preserve">Formal risk treatment plan required; AI Policy Owner approval before deployment; quarterly monitoring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1f4e79"/>
                <w:sz w:val="20"/>
                <w:szCs w:val="20"/>
                <w:rtl w:val="0"/>
              </w:rPr>
              <w:t xml:space="preserve">4 –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20"/>
                <w:szCs w:val="20"/>
                <w:rtl w:val="0"/>
              </w:rPr>
              <w:t xml:space="preserve">Risk mitigation measures documented; AI System Owner sign-off required; bi-annual monitoring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1f4e79"/>
                <w:sz w:val="20"/>
                <w:szCs w:val="20"/>
                <w:rtl w:val="0"/>
              </w:rPr>
              <w:t xml:space="preserve">1 –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20"/>
                <w:szCs w:val="20"/>
                <w:rtl w:val="0"/>
              </w:rPr>
              <w:t xml:space="preserve">Logged in Risk Register; standard monitoring; annual review</w:t>
            </w:r>
            <w:r w:rsidDel="00000000" w:rsidR="00000000" w:rsidRPr="00000000">
              <w:rPr>
                <w:rtl w:val="0"/>
              </w:rPr>
            </w:r>
          </w:p>
        </w:tc>
      </w:tr>
    </w:tbl>
    <w:p w:rsidR="00000000" w:rsidDel="00000000" w:rsidP="00000000" w:rsidRDefault="00000000" w:rsidRPr="00000000" w14:paraId="00000093">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02.3.3   Risk Treatment Strategies</w:t>
      </w:r>
      <w:r w:rsidDel="00000000" w:rsidR="00000000" w:rsidRPr="00000000">
        <w:rPr>
          <w:rtl w:val="0"/>
        </w:rPr>
      </w:r>
    </w:p>
    <w:p w:rsidR="00000000" w:rsidDel="00000000" w:rsidP="00000000" w:rsidRDefault="00000000" w:rsidRPr="00000000" w14:paraId="00000094">
      <w:pPr>
        <w:spacing w:after="120" w:lineRule="auto"/>
        <w:jc w:val="both"/>
        <w:rPr/>
      </w:pPr>
      <w:r w:rsidDel="00000000" w:rsidR="00000000" w:rsidRPr="00000000">
        <w:rPr>
          <w:rFonts w:ascii="Calibri" w:cs="Calibri" w:eastAsia="Calibri" w:hAnsi="Calibri"/>
          <w:color w:val="000000"/>
          <w:sz w:val="22"/>
          <w:szCs w:val="22"/>
          <w:rtl w:val="0"/>
        </w:rPr>
        <w:t xml:space="preserve">For each assessed risk, one of the following treatment strategies must be selected and documented in the AI Risk Register:</w:t>
      </w:r>
      <w:r w:rsidDel="00000000" w:rsidR="00000000" w:rsidRPr="00000000">
        <w:rPr>
          <w:rtl w:val="0"/>
        </w:rPr>
      </w:r>
    </w:p>
    <w:p w:rsidR="00000000" w:rsidDel="00000000" w:rsidP="00000000" w:rsidRDefault="00000000" w:rsidRPr="00000000" w14:paraId="00000095">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b w:val="1"/>
                <w:bCs w:val="1"/>
                <w:color w:val="ffffff"/>
                <w:sz w:val="20"/>
                <w:szCs w:val="20"/>
                <w:rtl w:val="0"/>
              </w:rPr>
              <w:t xml:space="preserve">Treatment Strategy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b w:val="1"/>
                <w:bCs w:val="1"/>
                <w:color w:val="1f4e79"/>
                <w:sz w:val="20"/>
                <w:szCs w:val="20"/>
                <w:rtl w:val="0"/>
              </w:rPr>
              <w:t xml:space="preserve">Avoid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color w:val="000000"/>
                <w:sz w:val="20"/>
                <w:szCs w:val="20"/>
                <w:rtl w:val="0"/>
              </w:rPr>
              <w:t xml:space="preserve">Discontinue or do not proceed with the AI use case where residual risk cannot be reduced to an acceptable 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1f4e79"/>
                <w:sz w:val="20"/>
                <w:szCs w:val="20"/>
                <w:rtl w:val="0"/>
              </w:rPr>
              <w:t xml:space="preserve">Mitigate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color w:val="000000"/>
                <w:sz w:val="20"/>
                <w:szCs w:val="20"/>
                <w:rtl w:val="0"/>
              </w:rPr>
              <w:t xml:space="preserve">Implement technical or organisational controls to reduce the likelihood or impact of identified risks to an acceptable 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b w:val="1"/>
                <w:bCs w:val="1"/>
                <w:color w:val="1f4e79"/>
                <w:sz w:val="20"/>
                <w:szCs w:val="20"/>
                <w:rtl w:val="0"/>
              </w:rPr>
              <w:t xml:space="preserve">Transfer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color w:val="000000"/>
                <w:sz w:val="20"/>
                <w:szCs w:val="20"/>
                <w:rtl w:val="0"/>
              </w:rPr>
              <w:t xml:space="preserve">Use contractual mechanisms, insurance, or third-party responsibility to transfer risk (e.g., vendor agreements, indemnities)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1f4e79"/>
                <w:sz w:val="20"/>
                <w:szCs w:val="20"/>
                <w:rtl w:val="0"/>
              </w:rPr>
              <w:t xml:space="preserve">Accept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color w:val="000000"/>
                <w:sz w:val="20"/>
                <w:szCs w:val="20"/>
                <w:rtl w:val="0"/>
              </w:rPr>
              <w:t xml:space="preserve">Formally accept residual risk; documented acceptance by the accountable AI System Owner; requires AI Policy Owner sign-off for Medium+ risks</w:t>
            </w:r>
            <w:r w:rsidDel="00000000" w:rsidR="00000000" w:rsidRPr="00000000">
              <w:rPr>
                <w:rtl w:val="0"/>
              </w:rPr>
            </w:r>
          </w:p>
        </w:tc>
      </w:tr>
    </w:tbl>
    <w:p w:rsidR="00000000" w:rsidDel="00000000" w:rsidP="00000000" w:rsidRDefault="00000000" w:rsidRPr="00000000" w14:paraId="000000A0">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02.3.4   AI Risk Register</w:t>
      </w:r>
      <w:r w:rsidDel="00000000" w:rsidR="00000000" w:rsidRPr="00000000">
        <w:rPr>
          <w:rtl w:val="0"/>
        </w:rPr>
      </w:r>
    </w:p>
    <w:p w:rsidR="00000000" w:rsidDel="00000000" w:rsidP="00000000" w:rsidRDefault="00000000" w:rsidRPr="00000000" w14:paraId="000000A1">
      <w:pPr>
        <w:spacing w:after="120" w:lineRule="auto"/>
        <w:jc w:val="both"/>
        <w:rPr/>
      </w:pPr>
      <w:r w:rsidDel="00000000" w:rsidR="00000000" w:rsidRPr="00000000">
        <w:rPr>
          <w:rFonts w:ascii="Calibri" w:cs="Calibri" w:eastAsia="Calibri" w:hAnsi="Calibri"/>
          <w:color w:val="000000"/>
          <w:sz w:val="22"/>
          <w:szCs w:val="22"/>
          <w:rtl w:val="0"/>
        </w:rPr>
        <w:t xml:space="preserve">A centralised AI Risk Register must be maintained and updated at minimum quarterly. Each entry in the Register must capture: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system name and unique identifier</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description and affected domain</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tier and risk score (likelihood × impact)</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Treatment strategy selected and controls implemented</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Treatment owner and target resolution date</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status and residual risk level</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last review and next scheduled review</w:t>
      </w:r>
    </w:p>
    <w:p w:rsidR="00000000" w:rsidDel="00000000" w:rsidP="00000000" w:rsidRDefault="00000000" w:rsidRPr="00000000" w14:paraId="000000A9">
      <w:pPr>
        <w:spacing w:after="0" w:before="60" w:lineRule="auto"/>
        <w:rPr/>
      </w:pPr>
      <w:r w:rsidDel="00000000" w:rsidR="00000000" w:rsidRPr="00000000">
        <w:rPr>
          <w:rtl w:val="0"/>
        </w:rPr>
      </w:r>
    </w:p>
    <w:p w:rsidR="00000000" w:rsidDel="00000000" w:rsidP="00000000" w:rsidRDefault="00000000" w:rsidRPr="00000000" w14:paraId="000000AA">
      <w:pPr>
        <w:spacing w:after="120" w:lineRule="auto"/>
        <w:jc w:val="both"/>
        <w:rPr/>
      </w:pPr>
      <w:r w:rsidDel="00000000" w:rsidR="00000000" w:rsidRPr="00000000">
        <w:rPr>
          <w:rFonts w:ascii="Calibri" w:cs="Calibri" w:eastAsia="Calibri" w:hAnsi="Calibri"/>
          <w:color w:val="000000"/>
          <w:sz w:val="22"/>
          <w:szCs w:val="22"/>
          <w:rtl w:val="0"/>
        </w:rPr>
        <w:t xml:space="preserve">The AI Risk Register is presented to the AI Governance Lead on a quarterly basis with trend analysis and material changes highlighted.</w:t>
      </w:r>
      <w:r w:rsidDel="00000000" w:rsidR="00000000" w:rsidRPr="00000000">
        <w:rPr>
          <w:rtl w:val="0"/>
        </w:rPr>
      </w:r>
    </w:p>
    <w:p w:rsidR="00000000" w:rsidDel="00000000" w:rsidP="00000000" w:rsidRDefault="00000000" w:rsidRPr="00000000" w14:paraId="000000AB">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02.3.5   Continuous Risk Monitoring</w:t>
      </w:r>
      <w:r w:rsidDel="00000000" w:rsidR="00000000" w:rsidRPr="00000000">
        <w:rPr>
          <w:rtl w:val="0"/>
        </w:rPr>
      </w:r>
    </w:p>
    <w:p w:rsidR="00000000" w:rsidDel="00000000" w:rsidP="00000000" w:rsidRDefault="00000000" w:rsidRPr="00000000" w14:paraId="000000AC">
      <w:pPr>
        <w:spacing w:after="120" w:lineRule="auto"/>
        <w:jc w:val="both"/>
        <w:rPr/>
      </w:pPr>
      <w:r w:rsidDel="00000000" w:rsidR="00000000" w:rsidRPr="00000000">
        <w:rPr>
          <w:rFonts w:ascii="Calibri" w:cs="Calibri" w:eastAsia="Calibri" w:hAnsi="Calibri"/>
          <w:color w:val="000000"/>
          <w:sz w:val="22"/>
          <w:szCs w:val="22"/>
          <w:rtl w:val="0"/>
        </w:rPr>
        <w:t xml:space="preserve">All deployed AI systems must have an active monitoring plan. The monitoring plan must address:</w:t>
      </w:r>
      <w:r w:rsidDel="00000000" w:rsidR="00000000" w:rsidRPr="00000000">
        <w:rPr>
          <w:rtl w:val="0"/>
        </w:rPr>
      </w:r>
    </w:p>
    <w:p w:rsidR="00000000" w:rsidDel="00000000" w:rsidP="00000000" w:rsidRDefault="00000000" w:rsidRPr="00000000" w14:paraId="000000AD">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100"/>
        <w:gridCol w:w="3460"/>
        <w:tblGridChange w:id="0">
          <w:tblGrid>
            <w:gridCol w:w="2800"/>
            <w:gridCol w:w="3100"/>
            <w:gridCol w:w="34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ffffff"/>
                <w:sz w:val="20"/>
                <w:szCs w:val="20"/>
                <w:rtl w:val="0"/>
              </w:rPr>
              <w:t xml:space="preserve">Monitoring Activity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ffffff"/>
                <w:sz w:val="20"/>
                <w:szCs w:val="20"/>
                <w:rtl w:val="0"/>
              </w:rPr>
              <w:t xml:space="preserve">High Risk Systems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b w:val="1"/>
                <w:bCs w:val="1"/>
                <w:color w:val="ffffff"/>
                <w:sz w:val="20"/>
                <w:szCs w:val="20"/>
                <w:rtl w:val="0"/>
              </w:rPr>
              <w:t xml:space="preserve">Medium / Low Risk Systems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b w:val="1"/>
                <w:bCs w:val="1"/>
                <w:color w:val="1f4e79"/>
                <w:sz w:val="20"/>
                <w:szCs w:val="20"/>
                <w:rtl w:val="0"/>
              </w:rPr>
              <w:t xml:space="preserve">Model Performance Degradation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000000"/>
                <w:sz w:val="20"/>
                <w:szCs w:val="20"/>
                <w:rtl w:val="0"/>
              </w:rPr>
              <w:t xml:space="preserve">Real-time alerting; review within 24 hours of threshold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20"/>
                <w:szCs w:val="20"/>
                <w:rtl w:val="0"/>
              </w:rPr>
              <w:t xml:space="preserve">Weekly batch review; monthly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color w:val="1f4e79"/>
                <w:sz w:val="20"/>
                <w:szCs w:val="20"/>
                <w:rtl w:val="0"/>
              </w:rPr>
              <w:t xml:space="preserve">Data / Prediction 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20"/>
                <w:szCs w:val="20"/>
                <w:rtl w:val="0"/>
              </w:rPr>
              <w:t xml:space="preserve">Daily monitoring of input feature distributions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20"/>
                <w:szCs w:val="20"/>
                <w:rtl w:val="0"/>
              </w:rPr>
              <w:t xml:space="preserve">Weekly monitoring; monthly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1f4e79"/>
                <w:sz w:val="20"/>
                <w:szCs w:val="20"/>
                <w:rtl w:val="0"/>
              </w:rPr>
              <w:t xml:space="preserve">Fairness Metrics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20"/>
                <w:szCs w:val="20"/>
                <w:rtl w:val="0"/>
              </w:rPr>
              <w:t xml:space="preserve">Monthly re-evaluation; quarterly formal review with documented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20"/>
                <w:szCs w:val="20"/>
                <w:rtl w:val="0"/>
              </w:rPr>
              <w:t xml:space="preserve">Quarterly evaluation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1f4e79"/>
                <w:sz w:val="20"/>
                <w:szCs w:val="20"/>
                <w:rtl w:val="0"/>
              </w:rPr>
              <w:t xml:space="preserve">Security Threat Indicators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20"/>
                <w:szCs w:val="20"/>
                <w:rtl w:val="0"/>
              </w:rPr>
              <w:t xml:space="preserve">Continuous monitoring; integration with SIEM or equivalent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20"/>
                <w:szCs w:val="20"/>
                <w:rtl w:val="0"/>
              </w:rPr>
              <w:t xml:space="preserve">Monthly log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1f4e79"/>
                <w:sz w:val="20"/>
                <w:szCs w:val="20"/>
                <w:rtl w:val="0"/>
              </w:rPr>
              <w:t xml:space="preserve">User Complaints / Feedback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20"/>
                <w:szCs w:val="20"/>
                <w:rtl w:val="0"/>
              </w:rPr>
              <w:t xml:space="preserve">Weekly analysis; trend reporting to AI System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20"/>
                <w:szCs w:val="20"/>
                <w:rtl w:val="0"/>
              </w:rPr>
              <w:t xml:space="preserve">Monthly analysis</w:t>
            </w:r>
            <w:r w:rsidDel="00000000" w:rsidR="00000000" w:rsidRPr="00000000">
              <w:rPr>
                <w:rtl w:val="0"/>
              </w:rPr>
            </w:r>
          </w:p>
        </w:tc>
      </w:tr>
    </w:tbl>
    <w:p w:rsidR="00000000" w:rsidDel="00000000" w:rsidP="00000000" w:rsidRDefault="00000000" w:rsidRPr="00000000" w14:paraId="000000C0">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02.3.6   Incident Response</w:t>
      </w:r>
      <w:r w:rsidDel="00000000" w:rsidR="00000000" w:rsidRPr="00000000">
        <w:rPr>
          <w:rtl w:val="0"/>
        </w:rPr>
      </w:r>
    </w:p>
    <w:p w:rsidR="00000000" w:rsidDel="00000000" w:rsidP="00000000" w:rsidRDefault="00000000" w:rsidRPr="00000000" w14:paraId="000000C1">
      <w:pPr>
        <w:spacing w:after="120" w:lineRule="auto"/>
        <w:jc w:val="both"/>
        <w:rPr/>
      </w:pPr>
      <w:r w:rsidDel="00000000" w:rsidR="00000000" w:rsidRPr="00000000">
        <w:rPr>
          <w:rFonts w:ascii="Calibri" w:cs="Calibri" w:eastAsia="Calibri" w:hAnsi="Calibri"/>
          <w:color w:val="000000"/>
          <w:sz w:val="22"/>
          <w:szCs w:val="22"/>
          <w:rtl w:val="0"/>
        </w:rPr>
        <w:t xml:space="preserve">An AI incident is any event where an AI system produces outputs that cause or have potential to cause harm, regulatory breach, or significant operational disruption. Incidents are classified and responded to as follows:</w:t>
      </w:r>
      <w:r w:rsidDel="00000000" w:rsidR="00000000" w:rsidRPr="00000000">
        <w:rPr>
          <w:rtl w:val="0"/>
        </w:rPr>
      </w:r>
    </w:p>
    <w:p w:rsidR="00000000" w:rsidDel="00000000" w:rsidP="00000000" w:rsidRDefault="00000000" w:rsidRPr="00000000" w14:paraId="000000C2">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color w:val="ffffff"/>
                <w:sz w:val="20"/>
                <w:szCs w:val="20"/>
                <w:rtl w:val="0"/>
              </w:rPr>
              <w:t xml:space="preserve">Incident Severity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b w:val="1"/>
                <w:bCs w:val="1"/>
                <w:color w:val="ffffff"/>
                <w:sz w:val="20"/>
                <w:szCs w:val="20"/>
                <w:rtl w:val="0"/>
              </w:rPr>
              <w:t xml:space="preserve">Response 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color w:val="1f4e79"/>
                <w:sz w:val="20"/>
                <w:szCs w:val="20"/>
                <w:rtl w:val="0"/>
              </w:rPr>
              <w:t xml:space="preserve">Critical (user harm / regulatory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color w:val="000000"/>
                <w:sz w:val="20"/>
                <w:szCs w:val="20"/>
                <w:rtl w:val="0"/>
              </w:rPr>
              <w:t xml:space="preserve">Immediate system suspension; AI Governance Lead notified within 2 hours; regulatory notification as required by law; root cause analysis within 5 business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b w:val="1"/>
                <w:bCs w:val="1"/>
                <w:color w:val="1f4e79"/>
                <w:sz w:val="20"/>
                <w:szCs w:val="20"/>
                <w:rtl w:val="0"/>
              </w:rPr>
              <w:t xml:space="preserve">High (significant performance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color w:val="000000"/>
                <w:sz w:val="20"/>
                <w:szCs w:val="20"/>
                <w:rtl w:val="0"/>
              </w:rPr>
              <w:t xml:space="preserve">AI System Owner notified within 4 hours; root cause analysis within 48 hours; corrective action plan within 5 business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b w:val="1"/>
                <w:bCs w:val="1"/>
                <w:color w:val="1f4e79"/>
                <w:sz w:val="20"/>
                <w:szCs w:val="20"/>
                <w:rtl w:val="0"/>
              </w:rPr>
              <w:t xml:space="preserve">Medium (degraded 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color w:val="000000"/>
                <w:sz w:val="20"/>
                <w:szCs w:val="20"/>
                <w:rtl w:val="0"/>
              </w:rPr>
              <w:t xml:space="preserve">Logged and investigated within 5 business days; remediation plan documented and actioned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Calibri" w:cs="Calibri" w:eastAsia="Calibri" w:hAnsi="Calibri"/>
                <w:b w:val="1"/>
                <w:bCs w:val="1"/>
                <w:color w:val="1f4e79"/>
                <w:sz w:val="20"/>
                <w:szCs w:val="20"/>
                <w:rtl w:val="0"/>
              </w:rPr>
              <w:t xml:space="preserve">Low (minor anomaly)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Calibri" w:cs="Calibri" w:eastAsia="Calibri" w:hAnsi="Calibri"/>
                <w:color w:val="000000"/>
                <w:sz w:val="20"/>
                <w:szCs w:val="20"/>
                <w:rtl w:val="0"/>
              </w:rPr>
              <w:t xml:space="preserve">Logged in risk register; reviewed at next scheduled review cycle</w:t>
            </w:r>
            <w:r w:rsidDel="00000000" w:rsidR="00000000" w:rsidRPr="00000000">
              <w:rPr>
                <w:rtl w:val="0"/>
              </w:rPr>
            </w:r>
          </w:p>
        </w:tc>
      </w:tr>
    </w:tbl>
    <w:p w:rsidR="00000000" w:rsidDel="00000000" w:rsidP="00000000" w:rsidRDefault="00000000" w:rsidRPr="00000000" w14:paraId="000000CD">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02.3.7   Third-Party AI Risk Management</w:t>
      </w:r>
      <w:r w:rsidDel="00000000" w:rsidR="00000000" w:rsidRPr="00000000">
        <w:rPr>
          <w:rtl w:val="0"/>
        </w:rPr>
      </w:r>
    </w:p>
    <w:p w:rsidR="00000000" w:rsidDel="00000000" w:rsidP="00000000" w:rsidRDefault="00000000" w:rsidRPr="00000000" w14:paraId="000000CE">
      <w:pPr>
        <w:spacing w:after="120" w:lineRule="auto"/>
        <w:jc w:val="both"/>
        <w:rPr/>
      </w:pPr>
      <w:r w:rsidDel="00000000" w:rsidR="00000000" w:rsidRPr="00000000">
        <w:rPr>
          <w:rFonts w:ascii="Calibri" w:cs="Calibri" w:eastAsia="Calibri" w:hAnsi="Calibri"/>
          <w:color w:val="000000"/>
          <w:sz w:val="22"/>
          <w:szCs w:val="22"/>
          <w:rtl w:val="0"/>
        </w:rPr>
        <w:t xml:space="preserve">When procuring or integrating third-party AI systems or APIs, the following due diligence must be completed before contracting:</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AI risk assessment questionnaire completed and reviewed by Legal and the AI Governance Lead</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Contractual AI risk, liability, and data processing obligations documented in all vendor agreements</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 review of vendor's AI system performance and security posture against agreed SLAs</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 strategy, data portability provisions, and data deletion obligations agreed before deployment</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Vendor's data retention and model training policies reviewed; confirmation that Company data will not be used to train third-party models without explicit consent</w:t>
      </w:r>
    </w:p>
    <w:p w:rsidR="00000000" w:rsidDel="00000000" w:rsidP="00000000" w:rsidRDefault="00000000" w:rsidRPr="00000000" w14:paraId="000000D4">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02.4   POLICY VIOLATIONS</w:t>
      </w:r>
      <w:r w:rsidDel="00000000" w:rsidR="00000000" w:rsidRPr="00000000">
        <w:rPr>
          <w:rtl w:val="0"/>
        </w:rPr>
      </w:r>
    </w:p>
    <w:p w:rsidR="00000000" w:rsidDel="00000000" w:rsidP="00000000" w:rsidRDefault="00000000" w:rsidRPr="00000000" w14:paraId="000000D5">
      <w:pPr>
        <w:spacing w:after="120" w:lineRule="auto"/>
        <w:jc w:val="both"/>
        <w:rPr/>
      </w:pPr>
      <w:r w:rsidDel="00000000" w:rsidR="00000000" w:rsidRPr="00000000">
        <w:rPr>
          <w:rFonts w:ascii="Calibri" w:cs="Calibri" w:eastAsia="Calibri" w:hAnsi="Calibri"/>
          <w:color w:val="000000"/>
          <w:sz w:val="22"/>
          <w:szCs w:val="22"/>
          <w:rtl w:val="0"/>
        </w:rPr>
        <w:t xml:space="preserve">Failure to conduct a required risk assessment before AI deployment, failure to maintain the AI Risk Register, and failure to report AI incidents constitute violations of this Policy. Violations are subject to the enforcement mechanisms defined in the AI Governance Policy (AI-GOV-POL-001).</w:t>
      </w:r>
      <w:r w:rsidDel="00000000" w:rsidR="00000000" w:rsidRPr="00000000">
        <w:rPr>
          <w:rtl w:val="0"/>
        </w:rPr>
      </w:r>
    </w:p>
    <w:p w:rsidR="00000000" w:rsidDel="00000000" w:rsidP="00000000" w:rsidRDefault="00000000" w:rsidRPr="00000000" w14:paraId="000000D6">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02.5   EXCEPTIONS</w:t>
      </w:r>
      <w:r w:rsidDel="00000000" w:rsidR="00000000" w:rsidRPr="00000000">
        <w:rPr>
          <w:rtl w:val="0"/>
        </w:rPr>
      </w:r>
    </w:p>
    <w:p w:rsidR="00000000" w:rsidDel="00000000" w:rsidP="00000000" w:rsidRDefault="00000000" w:rsidRPr="00000000" w14:paraId="000000D7">
      <w:pPr>
        <w:spacing w:after="120" w:lineRule="auto"/>
        <w:jc w:val="both"/>
        <w:rPr/>
      </w:pPr>
      <w:r w:rsidDel="00000000" w:rsidR="00000000" w:rsidRPr="00000000">
        <w:rPr>
          <w:rFonts w:ascii="Calibri" w:cs="Calibri" w:eastAsia="Calibri" w:hAnsi="Calibri"/>
          <w:color w:val="000000"/>
          <w:sz w:val="22"/>
          <w:szCs w:val="22"/>
          <w:rtl w:val="0"/>
        </w:rPr>
        <w:t xml:space="preserve">Exceptions to this Policy must follow the exception process defined in the AI Governance Policy. Risk assessments may not be waived for High Risk AI systems under any circumstances.</w:t>
      </w:r>
      <w:r w:rsidDel="00000000" w:rsidR="00000000" w:rsidRPr="00000000">
        <w:rPr>
          <w:rtl w:val="0"/>
        </w:rPr>
      </w:r>
    </w:p>
    <w:p w:rsidR="00000000" w:rsidDel="00000000" w:rsidP="00000000" w:rsidRDefault="00000000" w:rsidRPr="00000000" w14:paraId="000000D8">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02.6   POLICY REVIEW</w:t>
      </w:r>
      <w:r w:rsidDel="00000000" w:rsidR="00000000" w:rsidRPr="00000000">
        <w:rPr>
          <w:rtl w:val="0"/>
        </w:rPr>
      </w:r>
    </w:p>
    <w:p w:rsidR="00000000" w:rsidDel="00000000" w:rsidP="00000000" w:rsidRDefault="00000000" w:rsidRPr="00000000" w14:paraId="000000D9">
      <w:pPr>
        <w:spacing w:after="120" w:lineRule="auto"/>
        <w:jc w:val="both"/>
        <w:rPr/>
      </w:pPr>
      <w:r w:rsidDel="00000000" w:rsidR="00000000" w:rsidRPr="00000000">
        <w:rPr>
          <w:rFonts w:ascii="Calibri" w:cs="Calibri" w:eastAsia="Calibri" w:hAnsi="Calibri"/>
          <w:color w:val="000000"/>
          <w:sz w:val="22"/>
          <w:szCs w:val="22"/>
          <w:rtl w:val="0"/>
        </w:rPr>
        <w:t xml:space="preserve">This Policy shall be reviewed annually or upon a significant change in the organisation's AI risk profile, a material AI incident, new regulatory guidance, or introduction of a new AI system category.</w:t>
      </w:r>
      <w:r w:rsidDel="00000000" w:rsidR="00000000" w:rsidRPr="00000000">
        <w:rPr>
          <w:rtl w:val="0"/>
        </w:rPr>
      </w:r>
    </w:p>
    <w:p w:rsidR="00000000" w:rsidDel="00000000" w:rsidP="00000000" w:rsidRDefault="00000000" w:rsidRPr="00000000" w14:paraId="000000DA">
      <w:pPr>
        <w:spacing w:after="0" w:before="120" w:lineRule="auto"/>
        <w:rPr/>
      </w:pPr>
      <w:r w:rsidDel="00000000" w:rsidR="00000000" w:rsidRPr="00000000">
        <w:rPr>
          <w:rtl w:val="0"/>
        </w:rPr>
      </w:r>
    </w:p>
    <w:p w:rsidR="00000000" w:rsidDel="00000000" w:rsidP="00000000" w:rsidRDefault="00000000" w:rsidRPr="00000000" w14:paraId="000000DB">
      <w:pPr>
        <w:spacing w:after="160" w:before="200" w:lineRule="auto"/>
        <w:rPr/>
      </w:pPr>
      <w:r w:rsidDel="00000000" w:rsidR="00000000" w:rsidRPr="00000000">
        <w:rPr>
          <w:rtl w:val="0"/>
        </w:rPr>
      </w:r>
    </w:p>
    <w:p w:rsidR="00000000" w:rsidDel="00000000" w:rsidP="00000000" w:rsidRDefault="00000000" w:rsidRPr="00000000" w14:paraId="000000DC">
      <w:pPr>
        <w:spacing w:after="80" w:lineRule="auto"/>
        <w:jc w:val="center"/>
        <w:rPr/>
      </w:pPr>
      <w:r w:rsidDel="00000000" w:rsidR="00000000" w:rsidRPr="00000000">
        <w:rPr>
          <w:rFonts w:ascii="Calibri" w:cs="Calibri" w:eastAsia="Calibri" w:hAnsi="Calibri"/>
          <w:b w:val="1"/>
          <w:bCs w:val="1"/>
          <w:color w:val="595959"/>
          <w:sz w:val="22"/>
          <w:szCs w:val="22"/>
          <w:rtl w:val="0"/>
        </w:rPr>
        <w:t xml:space="preserve">— END OF POLICY —</w:t>
      </w:r>
      <w:r w:rsidDel="00000000" w:rsidR="00000000" w:rsidRPr="00000000">
        <w:rPr>
          <w:rtl w:val="0"/>
        </w:rPr>
      </w:r>
    </w:p>
    <w:p w:rsidR="00000000" w:rsidDel="00000000" w:rsidP="00000000" w:rsidRDefault="00000000" w:rsidRPr="00000000" w14:paraId="000000DD">
      <w:pPr>
        <w:jc w:val="center"/>
        <w:rPr/>
      </w:pPr>
      <w:r w:rsidDel="00000000" w:rsidR="00000000" w:rsidRPr="00000000">
        <w:rPr>
          <w:rFonts w:ascii="Calibri" w:cs="Calibri" w:eastAsia="Calibri" w:hAnsi="Calibri"/>
          <w:i w:val="1"/>
          <w:iCs w:val="1"/>
          <w:color w:val="595959"/>
          <w:sz w:val="18"/>
          <w:szCs w:val="18"/>
          <w:rtl w:val="0"/>
        </w:rPr>
        <w:t xml:space="preserve">[COMPANY NAME]  |  Artificial Intelligence Risk Management Policy  |  Document ID: AI-RISK-POL-002  |  Version 1.0</w:t>
      </w:r>
      <w:r w:rsidDel="00000000" w:rsidR="00000000" w:rsidRPr="00000000">
        <w:rPr>
          <w:rtl w:val="0"/>
        </w:rPr>
      </w:r>
    </w:p>
    <w:sectPr>
      <w:headerReference r:id="rId6" w:type="default"/>
      <w:footerReference r:id="rId7"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color="bfbfbf" w:space="1" w:sz="4" w:val="single"/>
      </w:pBdr>
      <w:spacing w:before="80" w:lineRule="auto"/>
      <w:rPr/>
    </w:pPr>
    <w:r w:rsidDel="00000000" w:rsidR="00000000" w:rsidRPr="00000000">
      <w:rPr>
        <w:rFonts w:ascii="Calibri" w:cs="Calibri" w:eastAsia="Calibri" w:hAnsi="Calibri"/>
        <w:color w:val="595959"/>
        <w:sz w:val="17"/>
        <w:szCs w:val="17"/>
        <w:rtl w:val="0"/>
      </w:rPr>
      <w:t xml:space="preserve">[COMPANY NAME]  |  Artificial Intelligence Risk Management Policy </w:t>
    </w:r>
    <w:r w:rsidDel="00000000" w:rsidR="00000000" w:rsidRPr="00000000">
      <w:rPr>
        <w:color w:val="595959"/>
        <w:sz w:val="17"/>
        <w:szCs w:val="17"/>
        <w:rtl w:val="0"/>
      </w:rPr>
      <w:tab/>
      <w:tab/>
      <w:tab/>
      <w:tab/>
      <w:tab/>
      <w:tab/>
    </w:r>
    <w:r w:rsidDel="00000000" w:rsidR="00000000" w:rsidRPr="00000000">
      <w:rPr>
        <w:rFonts w:ascii="Calibri" w:cs="Calibri" w:eastAsia="Calibri" w:hAnsi="Calibri"/>
        <w:color w:val="595959"/>
        <w:sz w:val="17"/>
        <w:szCs w:val="17"/>
        <w:rtl w:val="0"/>
      </w:rPr>
      <w:t xml:space="preserve">       Page </w:t>
    </w:r>
    <w:r w:rsidDel="00000000" w:rsidR="00000000" w:rsidRPr="00000000">
      <w:rPr>
        <w:rFonts w:ascii="Calibri" w:cs="Calibri" w:eastAsia="Calibri" w:hAnsi="Calibri"/>
        <w:color w:val="595959"/>
        <w:sz w:val="17"/>
        <w:szCs w:val="17"/>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7"/>
        <w:szCs w:val="17"/>
        <w:rtl w:val="0"/>
      </w:rPr>
      <w:t xml:space="preserve"> of </w:t>
    </w:r>
    <w:r w:rsidDel="00000000" w:rsidR="00000000" w:rsidRPr="00000000">
      <w:rPr>
        <w:rFonts w:ascii="Calibri" w:cs="Calibri" w:eastAsia="Calibri" w:hAnsi="Calibri"/>
        <w:color w:val="595959"/>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bottom w:color="bfbfbf" w:space="1" w:sz="4" w:val="single"/>
      </w:pBdr>
      <w:spacing w:after="80" w:lineRule="auto"/>
      <w:rPr/>
    </w:pPr>
    <w:r w:rsidDel="00000000" w:rsidR="00000000" w:rsidRPr="00000000">
      <w:rPr>
        <w:rFonts w:ascii="Calibri" w:cs="Calibri" w:eastAsia="Calibri" w:hAnsi="Calibri"/>
        <w:color w:val="595959"/>
        <w:sz w:val="18"/>
        <w:szCs w:val="18"/>
        <w:rtl w:val="0"/>
      </w:rPr>
      <w:t xml:space="preserve">[COMPANY NAME]  |  Artificial Intelligence Risk Management Policy</w:t>
      <w:tab/>
      <w:tab/>
      <w:tab/>
      <w:tab/>
      <w:tab/>
      <w:t xml:space="preserve">{Company Logo}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Calibri" w:cs="Calibri" w:eastAsia="Calibri" w:hAnsi="Calibri"/>
      <w:b w:val="1"/>
      <w:bCs w:val="1"/>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