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91" w:lineRule="auto"/>
        <w:ind w:firstLine="1916"/>
        <w:rPr/>
      </w:pPr>
      <w:bookmarkStart w:colFirst="0" w:colLast="0" w:name="_heading=h.gjdgxs" w:id="0"/>
      <w:bookmarkEnd w:id="0"/>
      <w:r w:rsidDel="00000000" w:rsidR="00000000" w:rsidRPr="00000000">
        <w:rPr>
          <w:rtl w:val="0"/>
        </w:rPr>
        <w:t xml:space="preserve">Policy-ISMS 04 </w:t>
      </w:r>
      <w:r w:rsidDel="00000000" w:rsidR="00000000" w:rsidRPr="00000000">
        <w:rPr>
          <w:color w:val="333333"/>
          <w:rtl w:val="0"/>
        </w:rPr>
        <w:t xml:space="preserve">Context of the Organization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1"/>
        <w:tblW w:w="9360.0" w:type="dxa"/>
        <w:jc w:val="left"/>
        <w:tblInd w:w="13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2040"/>
        <w:gridCol w:w="7320"/>
        <w:tblGridChange w:id="0">
          <w:tblGrid>
            <w:gridCol w:w="2040"/>
            <w:gridCol w:w="7320"/>
          </w:tblGrid>
        </w:tblGridChange>
      </w:tblGrid>
      <w:tr>
        <w:trPr>
          <w:cantSplit w:val="0"/>
          <w:trHeight w:val="469"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ISMS No.</w:t>
            </w:r>
          </w:p>
        </w:tc>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ISMS 04</w:t>
            </w:r>
          </w:p>
        </w:tc>
      </w:tr>
      <w:tr>
        <w:trPr>
          <w:cantSplit w:val="0"/>
          <w:trHeight w:val="490" w:hRule="atLeast"/>
          <w:tblHeader w:val="0"/>
        </w:trPr>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Title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89" w:right="0" w:firstLine="0"/>
              <w:jc w:val="left"/>
              <w:rPr>
                <w:rFonts w:ascii="Verdana" w:cs="Verdana" w:eastAsia="Verdana" w:hAnsi="Verdana"/>
                <w:b w:val="0"/>
                <w:i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i w:val="0"/>
                <w:smallCaps w:val="0"/>
                <w:strike w:val="0"/>
                <w:color w:val="000000"/>
                <w:sz w:val="22"/>
                <w:szCs w:val="22"/>
                <w:u w:val="none"/>
                <w:shd w:fill="auto" w:val="clear"/>
                <w:vertAlign w:val="baseline"/>
                <w:rtl w:val="0"/>
              </w:rPr>
              <w:t xml:space="preserve">Context of the Organization</w:t>
            </w:r>
          </w:p>
        </w:tc>
      </w:tr>
      <w:tr>
        <w:trPr>
          <w:cantSplit w:val="0"/>
          <w:trHeight w:val="470"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Revision</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158" w:right="0" w:firstLine="0"/>
              <w:jc w:val="left"/>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Effective Date</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89"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9"/>
          <w:szCs w:val="29"/>
          <w:u w:val="none"/>
          <w:shd w:fill="auto" w:val="clear"/>
          <w:vertAlign w:val="baseline"/>
        </w:rPr>
      </w:pPr>
      <w:r w:rsidDel="00000000" w:rsidR="00000000" w:rsidRPr="00000000">
        <w:rPr>
          <w:rtl w:val="0"/>
        </w:rPr>
      </w:r>
    </w:p>
    <w:tbl>
      <w:tblPr>
        <w:tblStyle w:val="Table2"/>
        <w:tblW w:w="9360.0" w:type="dxa"/>
        <w:jc w:val="left"/>
        <w:tblInd w:w="130.0" w:type="dxa"/>
        <w:tblBorders>
          <w:top w:color="878787" w:space="0" w:sz="12" w:val="single"/>
          <w:left w:color="878787" w:space="0" w:sz="12" w:val="single"/>
          <w:bottom w:color="878787" w:space="0" w:sz="12" w:val="single"/>
          <w:right w:color="878787" w:space="0" w:sz="12" w:val="single"/>
          <w:insideH w:color="878787" w:space="0" w:sz="12" w:val="single"/>
          <w:insideV w:color="878787" w:space="0" w:sz="12" w:val="single"/>
        </w:tblBorders>
        <w:tblLayout w:type="fixed"/>
        <w:tblLook w:val="0000"/>
      </w:tblPr>
      <w:tblGrid>
        <w:gridCol w:w="1100"/>
        <w:gridCol w:w="1780"/>
        <w:gridCol w:w="1860"/>
        <w:gridCol w:w="1560"/>
        <w:gridCol w:w="3060"/>
        <w:tblGridChange w:id="0">
          <w:tblGrid>
            <w:gridCol w:w="1100"/>
            <w:gridCol w:w="1780"/>
            <w:gridCol w:w="1860"/>
            <w:gridCol w:w="1560"/>
            <w:gridCol w:w="3060"/>
          </w:tblGrid>
        </w:tblGridChange>
      </w:tblGrid>
      <w:tr>
        <w:trPr>
          <w:cantSplit w:val="0"/>
          <w:trHeight w:val="78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6.99999999999994" w:lineRule="auto"/>
              <w:ind w:left="364" w:right="0" w:hanging="216"/>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No.</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3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Date</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28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Reviewed by</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Approved by</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534"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Revision Description</w:t>
            </w:r>
          </w:p>
        </w:tc>
      </w:tr>
      <w:tr>
        <w:trPr>
          <w:cantSplit w:val="0"/>
          <w:trHeight w:val="769" w:hRule="atLeast"/>
          <w:tblHeader w:val="0"/>
        </w:trPr>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357"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r w:rsidDel="00000000" w:rsidR="00000000" w:rsidRPr="00000000">
              <w:rPr>
                <w:rFonts w:ascii="Arial" w:cs="Arial" w:eastAsia="Arial" w:hAnsi="Arial"/>
                <w:sz w:val="24"/>
                <w:szCs w:val="24"/>
                <w:rtl w:val="0"/>
              </w:rPr>
              <w:t xml:space="preserve">0</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6.99999999999994" w:lineRule="auto"/>
              <w:ind w:left="8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1A">
      <w:pPr>
        <w:spacing w:after="0" w:lineRule="auto"/>
        <w:ind w:firstLine="0"/>
        <w:rPr>
          <w:rFonts w:ascii="Verdana" w:cs="Verdana" w:eastAsia="Verdana" w:hAnsi="Verdana"/>
          <w:sz w:val="20"/>
          <w:szCs w:val="20"/>
        </w:rPr>
        <w:sectPr>
          <w:pgSz w:h="15840" w:w="12240" w:orient="portrait"/>
          <w:pgMar w:bottom="1560" w:top="1360" w:left="1340" w:right="1300" w:header="280" w:footer="1375"/>
          <w:pgNumType w:start="1"/>
        </w:sect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8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Policy-ISMS 04 Context of the Organization</w:t>
        </w:r>
      </w:hyperlink>
      <w:hyperlink w:anchor="_heading=h.gjdgx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20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ISMS 04 Context of the Organization</w:t>
        </w:r>
      </w:hyperlink>
      <w:hyperlink w:anchor="_heading=h.30j0zl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w:anchor="_heading=h.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40"/>
          <w:tab w:val="right" w:leader="none" w:pos="9459"/>
        </w:tabs>
        <w:spacing w:after="0" w:before="139" w:line="240" w:lineRule="auto"/>
        <w:ind w:left="940" w:right="0" w:hanging="480"/>
        <w:jc w:val="left"/>
        <w:rPr/>
      </w:pPr>
      <w:hyperlink w:anchor="_heading=h.1fob9t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Organization and its context</w:t>
          <w:tab/>
          <w:t xml:space="preserve">3</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40"/>
          <w:tab w:val="right" w:leader="none" w:pos="9459"/>
        </w:tabs>
        <w:spacing w:after="0" w:before="129" w:line="240" w:lineRule="auto"/>
        <w:ind w:left="940" w:right="0" w:hanging="480"/>
        <w:jc w:val="left"/>
        <w:rPr/>
      </w:pPr>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the needs and expectations of interested parties</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Contractual and Customer Requirements</w:t>
          <w:tab/>
          <w:t xml:space="preserve">4</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Requirements</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Regulatory Requirements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Suppliers</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Capabilities and Limitations</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40"/>
          <w:tab w:val="right" w:leader="none" w:pos="9459"/>
        </w:tabs>
        <w:spacing w:after="0" w:before="129" w:line="240" w:lineRule="auto"/>
        <w:ind w:left="940" w:right="0" w:hanging="480"/>
        <w:jc w:val="left"/>
        <w:rPr/>
      </w:pPr>
      <w:hyperlink w:anchor="_heading=h.17dp8v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Determining the scope of the ISMS</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8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Applications</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940"/>
          <w:tab w:val="right" w:leader="none" w:pos="9459"/>
        </w:tabs>
        <w:spacing w:after="0" w:before="129" w:line="240" w:lineRule="auto"/>
        <w:ind w:left="940" w:right="0" w:hanging="480"/>
        <w:jc w:val="left"/>
        <w:rPr/>
      </w:pPr>
      <w:hyperlink w:anchor="_heading=h.26in1r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Information Security Management System</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40"/>
          <w:tab w:val="right" w:leader="none" w:pos="9459"/>
        </w:tabs>
        <w:spacing w:after="0" w:before="129" w:line="240" w:lineRule="auto"/>
        <w:ind w:left="1540" w:right="0" w:hanging="720"/>
        <w:jc w:val="left"/>
        <w:rPr/>
      </w:pPr>
      <w:hyperlink w:anchor="_heading=h.lnxbz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Requirements</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40"/>
          <w:tab w:val="right" w:leader="none" w:pos="9459"/>
        </w:tabs>
        <w:spacing w:after="0" w:before="129" w:line="240" w:lineRule="auto"/>
        <w:ind w:left="1540" w:right="0" w:hanging="720"/>
        <w:jc w:val="left"/>
        <w:rPr/>
      </w:pPr>
      <w:hyperlink w:anchor="_heading=h.35nku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Establishing and Managing the ISMS</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40"/>
          <w:tab w:val="right" w:leader="none" w:pos="9459"/>
        </w:tabs>
        <w:spacing w:after="0" w:before="129" w:line="240" w:lineRule="auto"/>
        <w:ind w:left="1540" w:right="0" w:hanging="720"/>
        <w:jc w:val="left"/>
        <w:rPr/>
      </w:pPr>
      <w:hyperlink w:anchor="_heading=h.1ksv4u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Establishing the ISMS</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40"/>
          <w:tab w:val="right" w:leader="none" w:pos="9459"/>
        </w:tabs>
        <w:spacing w:after="0" w:before="129" w:line="240" w:lineRule="auto"/>
        <w:ind w:left="1540" w:right="0" w:hanging="720"/>
        <w:jc w:val="left"/>
        <w:rPr/>
      </w:pPr>
      <w:hyperlink w:anchor="_heading=h.44sini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and Operate the ISMS</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40"/>
          <w:tab w:val="right" w:leader="none" w:pos="9459"/>
        </w:tabs>
        <w:spacing w:after="0" w:before="129" w:line="240" w:lineRule="auto"/>
        <w:ind w:left="1540" w:right="0" w:hanging="720"/>
        <w:jc w:val="left"/>
        <w:rPr/>
      </w:pPr>
      <w:hyperlink w:anchor="_heading=h.2jxsxq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and Review the ISMS</w:t>
          <w:tab/>
          <w:t xml:space="preserve">9</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1540"/>
          <w:tab w:val="right" w:leader="none" w:pos="9459"/>
        </w:tabs>
        <w:spacing w:after="0" w:before="129" w:line="240" w:lineRule="auto"/>
        <w:ind w:left="1540" w:right="0" w:hanging="720"/>
        <w:jc w:val="left"/>
        <w:rPr/>
      </w:pPr>
      <w:hyperlink w:anchor="_heading=h.z337y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 and Improve the ISMS</w:t>
          <w:tab/>
          <w:t xml:space="preserve">9</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459"/>
        </w:tabs>
        <w:spacing w:after="0" w:before="129" w:line="240" w:lineRule="auto"/>
        <w:ind w:left="4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1340" w:right="1300" w:header="280" w:footer="1375"/>
        </w:sect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3"/>
          <w:szCs w:val="43"/>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1"/>
        <w:ind w:firstLine="1916"/>
        <w:rPr/>
      </w:pPr>
      <w:bookmarkStart w:colFirst="0" w:colLast="0" w:name="_heading=h.30j0zll" w:id="1"/>
      <w:bookmarkEnd w:id="1"/>
      <w:r w:rsidDel="00000000" w:rsidR="00000000" w:rsidRPr="00000000">
        <w:rPr>
          <w:rtl w:val="0"/>
        </w:rPr>
        <w:t xml:space="preserve">ISMS 04 Context of the Organization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2">
      <w:pPr>
        <w:pStyle w:val="Heading3"/>
        <w:numPr>
          <w:ilvl w:val="1"/>
          <w:numId w:val="1"/>
        </w:numPr>
        <w:tabs>
          <w:tab w:val="left" w:leader="none" w:pos="1354"/>
        </w:tabs>
        <w:spacing w:after="0" w:before="1" w:line="240" w:lineRule="auto"/>
        <w:ind w:left="1353" w:right="0" w:hanging="534"/>
        <w:jc w:val="left"/>
        <w:rPr/>
      </w:pPr>
      <w:bookmarkStart w:colFirst="0" w:colLast="0" w:name="_heading=h.1fob9te" w:id="2"/>
      <w:bookmarkEnd w:id="2"/>
      <w:r w:rsidDel="00000000" w:rsidR="00000000" w:rsidRPr="00000000">
        <w:rPr>
          <w:rtl w:val="0"/>
        </w:rPr>
        <w:t xml:space="preserve">Understanding the Organization and its context</w:t>
      </w:r>
    </w:p>
    <w:p w:rsidR="00000000" w:rsidDel="00000000" w:rsidP="00000000" w:rsidRDefault="00000000" w:rsidRPr="00000000" w14:paraId="00000033">
      <w:pPr>
        <w:tabs>
          <w:tab w:val="left" w:leader="none" w:pos="1354"/>
        </w:tabs>
        <w:rPr/>
      </w:pPr>
      <w:r w:rsidDel="00000000" w:rsidR="00000000" w:rsidRPr="00000000">
        <w:rPr>
          <w:rtl w:val="0"/>
        </w:rPr>
      </w:r>
    </w:p>
    <w:p w:rsidR="00000000" w:rsidDel="00000000" w:rsidP="00000000" w:rsidRDefault="00000000" w:rsidRPr="00000000" w14:paraId="00000034">
      <w:pPr>
        <w:tabs>
          <w:tab w:val="left" w:leader="none" w:pos="1354"/>
        </w:tabs>
        <w:rPr>
          <w:sz w:val="24"/>
          <w:szCs w:val="24"/>
        </w:rPr>
      </w:pPr>
      <w:r w:rsidDel="00000000" w:rsidR="00000000" w:rsidRPr="00000000">
        <w:rPr>
          <w:rtl w:val="0"/>
        </w:rPr>
        <w:tab/>
      </w:r>
      <w:r w:rsidDel="00000000" w:rsidR="00000000" w:rsidRPr="00000000">
        <w:rPr>
          <w:sz w:val="24"/>
          <w:szCs w:val="24"/>
          <w:rtl w:val="0"/>
        </w:rPr>
        <w:t xml:space="preserve">{organization) shall support the following functions that will affect the ISMS</w:t>
      </w:r>
    </w:p>
    <w:p w:rsidR="00000000" w:rsidDel="00000000" w:rsidP="00000000" w:rsidRDefault="00000000" w:rsidRPr="00000000" w14:paraId="00000035">
      <w:pPr>
        <w:numPr>
          <w:ilvl w:val="0"/>
          <w:numId w:val="3"/>
        </w:numPr>
        <w:tabs>
          <w:tab w:val="left" w:leader="none" w:pos="1354"/>
        </w:tabs>
        <w:ind w:left="1440" w:hanging="360"/>
        <w:rPr>
          <w:sz w:val="24"/>
          <w:szCs w:val="24"/>
          <w:u w:val="none"/>
        </w:rPr>
      </w:pPr>
      <w:r w:rsidDel="00000000" w:rsidR="00000000" w:rsidRPr="00000000">
        <w:rPr>
          <w:sz w:val="24"/>
          <w:szCs w:val="24"/>
          <w:rtl w:val="0"/>
        </w:rPr>
        <w:t xml:space="preserve">Service delivery and operations</w:t>
      </w:r>
    </w:p>
    <w:p w:rsidR="00000000" w:rsidDel="00000000" w:rsidP="00000000" w:rsidRDefault="00000000" w:rsidRPr="00000000" w14:paraId="00000036">
      <w:pPr>
        <w:numPr>
          <w:ilvl w:val="0"/>
          <w:numId w:val="3"/>
        </w:numPr>
        <w:tabs>
          <w:tab w:val="left" w:leader="none" w:pos="1354"/>
        </w:tabs>
        <w:ind w:left="1440" w:hanging="360"/>
        <w:rPr>
          <w:sz w:val="24"/>
          <w:szCs w:val="24"/>
          <w:u w:val="none"/>
        </w:rPr>
      </w:pPr>
      <w:r w:rsidDel="00000000" w:rsidR="00000000" w:rsidRPr="00000000">
        <w:rPr>
          <w:sz w:val="24"/>
          <w:szCs w:val="24"/>
          <w:rtl w:val="0"/>
        </w:rPr>
        <w:t xml:space="preserve">vendor management, enterprise cloud providers</w:t>
      </w:r>
    </w:p>
    <w:p w:rsidR="00000000" w:rsidDel="00000000" w:rsidP="00000000" w:rsidRDefault="00000000" w:rsidRPr="00000000" w14:paraId="00000037">
      <w:pPr>
        <w:numPr>
          <w:ilvl w:val="0"/>
          <w:numId w:val="3"/>
        </w:numPr>
        <w:tabs>
          <w:tab w:val="left" w:leader="none" w:pos="1354"/>
        </w:tabs>
        <w:ind w:left="1440" w:hanging="360"/>
        <w:rPr>
          <w:sz w:val="24"/>
          <w:szCs w:val="24"/>
          <w:u w:val="none"/>
        </w:rPr>
      </w:pPr>
      <w:r w:rsidDel="00000000" w:rsidR="00000000" w:rsidRPr="00000000">
        <w:rPr>
          <w:sz w:val="24"/>
          <w:szCs w:val="24"/>
          <w:rtl w:val="0"/>
        </w:rPr>
        <w:t xml:space="preserve">Compliance and Security Operations</w:t>
      </w:r>
    </w:p>
    <w:p w:rsidR="00000000" w:rsidDel="00000000" w:rsidP="00000000" w:rsidRDefault="00000000" w:rsidRPr="00000000" w14:paraId="00000038">
      <w:pPr>
        <w:numPr>
          <w:ilvl w:val="0"/>
          <w:numId w:val="3"/>
        </w:numPr>
        <w:tabs>
          <w:tab w:val="left" w:leader="none" w:pos="1354"/>
        </w:tabs>
        <w:ind w:left="1440" w:hanging="360"/>
        <w:rPr>
          <w:sz w:val="24"/>
          <w:szCs w:val="24"/>
          <w:u w:val="none"/>
        </w:rPr>
      </w:pPr>
      <w:r w:rsidDel="00000000" w:rsidR="00000000" w:rsidRPr="00000000">
        <w:rPr>
          <w:sz w:val="24"/>
          <w:szCs w:val="24"/>
          <w:rtl w:val="0"/>
        </w:rPr>
        <w:t xml:space="preserve">Management support that includes functions like project management, Financial, Contracts and business unit management.</w:t>
      </w:r>
    </w:p>
    <w:p w:rsidR="00000000" w:rsidDel="00000000" w:rsidP="00000000" w:rsidRDefault="00000000" w:rsidRPr="00000000" w14:paraId="00000039">
      <w:pPr>
        <w:numPr>
          <w:ilvl w:val="0"/>
          <w:numId w:val="3"/>
        </w:numPr>
        <w:tabs>
          <w:tab w:val="left" w:leader="none" w:pos="1354"/>
        </w:tabs>
        <w:ind w:left="1440" w:hanging="360"/>
        <w:rPr>
          <w:sz w:val="24"/>
          <w:szCs w:val="24"/>
          <w:u w:val="no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3"/>
        <w:numPr>
          <w:ilvl w:val="1"/>
          <w:numId w:val="1"/>
        </w:numPr>
        <w:tabs>
          <w:tab w:val="left" w:leader="none" w:pos="1354"/>
        </w:tabs>
        <w:spacing w:after="0" w:before="1" w:line="240" w:lineRule="auto"/>
        <w:ind w:left="1353" w:right="0" w:hanging="534"/>
        <w:jc w:val="left"/>
        <w:rPr/>
      </w:pPr>
      <w:bookmarkStart w:colFirst="0" w:colLast="0" w:name="_heading=h.3znysh7" w:id="3"/>
      <w:bookmarkEnd w:id="3"/>
      <w:r w:rsidDel="00000000" w:rsidR="00000000" w:rsidRPr="00000000">
        <w:rPr>
          <w:rtl w:val="0"/>
        </w:rPr>
        <w:t xml:space="preserve">Understanding the needs and expectations of interested parties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99999999999994" w:lineRule="auto"/>
        <w:ind w:left="550" w:right="199" w:firstLine="0"/>
        <w:jc w:val="left"/>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core internal stakeholders shall be employees, management, and executive team</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0" w:right="205"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nternal interested parties shall be defined as:</w:t>
      </w:r>
    </w:p>
    <w:p w:rsidR="00000000" w:rsidDel="00000000" w:rsidP="00000000" w:rsidRDefault="00000000" w:rsidRPr="00000000" w14:paraId="0000003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39"/>
          <w:tab w:val="left" w:leader="none"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Executive Management</w:t>
      </w:r>
    </w:p>
    <w:p w:rsidR="00000000" w:rsidDel="00000000" w:rsidP="00000000" w:rsidRDefault="00000000" w:rsidRPr="00000000" w14:paraId="0000004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39"/>
          <w:tab w:val="left" w:leader="none"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Finance</w:t>
      </w:r>
    </w:p>
    <w:p w:rsidR="00000000" w:rsidDel="00000000" w:rsidP="00000000" w:rsidRDefault="00000000" w:rsidRPr="00000000" w14:paraId="0000004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39"/>
          <w:tab w:val="left" w:leader="none" w:pos="1540"/>
        </w:tabs>
        <w:spacing w:after="0" w:before="8" w:line="240" w:lineRule="auto"/>
        <w:ind w:left="1540" w:right="0" w:hanging="360"/>
        <w:jc w:val="left"/>
        <w:rPr>
          <w:sz w:val="24"/>
          <w:szCs w:val="24"/>
          <w:u w:val="none"/>
        </w:rPr>
      </w:pPr>
      <w:r w:rsidDel="00000000" w:rsidR="00000000" w:rsidRPr="00000000">
        <w:rPr>
          <w:sz w:val="24"/>
          <w:szCs w:val="24"/>
          <w:rtl w:val="0"/>
        </w:rPr>
        <w:t xml:space="preserve">Engineering &amp; Operations</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39"/>
          <w:tab w:val="left" w:leader="none"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Dev/Ops and Security</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539"/>
          <w:tab w:val="left" w:leader="none" w:pos="1540"/>
        </w:tabs>
        <w:spacing w:after="0" w:before="8" w:line="240" w:lineRule="auto"/>
        <w:ind w:left="15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HR</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External suppliers and vendors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these parties shall have to meet requirements and risks relative to the security </w:t>
      </w:r>
      <w:r w:rsidDel="00000000" w:rsidR="00000000" w:rsidRPr="00000000">
        <w:rPr>
          <w:sz w:val="24"/>
          <w:szCs w:val="24"/>
          <w:rtl w:val="0"/>
        </w:rPr>
        <w:t xml:space="preserve">of data.</w:t>
      </w:r>
      <w:r w:rsidDel="00000000" w:rsidR="00000000" w:rsidRPr="00000000">
        <w:rPr>
          <w:rtl w:val="0"/>
        </w:rPr>
      </w:r>
    </w:p>
    <w:p w:rsidR="00000000" w:rsidDel="00000000" w:rsidP="00000000" w:rsidRDefault="00000000" w:rsidRPr="00000000" w14:paraId="00000046">
      <w:pPr>
        <w:pStyle w:val="Heading2"/>
        <w:ind w:firstLine="550"/>
        <w:rPr/>
      </w:pPr>
      <w:bookmarkStart w:colFirst="0" w:colLast="0" w:name="_heading=h.2et92p0" w:id="4"/>
      <w:bookmarkEnd w:id="4"/>
      <w:r w:rsidDel="00000000" w:rsidR="00000000" w:rsidRPr="00000000">
        <w:rPr>
          <w:rtl w:val="0"/>
        </w:rPr>
        <w:t xml:space="preserve">Organization Description</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1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{organization} is an engineering focused Saas service provider.  The ISMS has to support a wide range of technologies and operations.</w:t>
      </w:r>
      <w:r w:rsidDel="00000000" w:rsidR="00000000" w:rsidRPr="00000000">
        <w:rPr>
          <w:rtl w:val="0"/>
        </w:rPr>
      </w:r>
    </w:p>
    <w:p w:rsidR="00000000" w:rsidDel="00000000" w:rsidP="00000000" w:rsidRDefault="00000000" w:rsidRPr="00000000" w14:paraId="00000048">
      <w:pPr>
        <w:pStyle w:val="Heading2"/>
        <w:spacing w:before="182" w:lineRule="auto"/>
        <w:ind w:firstLine="550"/>
        <w:rPr/>
      </w:pPr>
      <w:bookmarkStart w:colFirst="0" w:colLast="0" w:name="_heading=h.tyjcwt" w:id="5"/>
      <w:bookmarkEnd w:id="5"/>
      <w:r w:rsidDel="00000000" w:rsidR="00000000" w:rsidRPr="00000000">
        <w:rPr>
          <w:rtl w:val="0"/>
        </w:rPr>
        <w:t xml:space="preserve">Contractual and Customer Requirements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ustomers have contracts with </w:t>
      </w: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require ISO/IEC 27001/2 certification.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6.99999999999994" w:lineRule="auto"/>
        <w:ind w:left="550" w:right="199" w:firstLine="0"/>
        <w:jc w:val="left"/>
        <w:rPr>
          <w:sz w:val="24"/>
          <w:szCs w:val="24"/>
        </w:rPr>
      </w:pPr>
      <w:r w:rsidDel="00000000" w:rsidR="00000000" w:rsidRPr="00000000">
        <w:rPr>
          <w:sz w:val="24"/>
          <w:szCs w:val="24"/>
          <w:rtl w:val="0"/>
        </w:rPr>
        <w:t xml:space="preserve">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ustomers also have requirements for specific operational and security controls in order for their suppliers to meet their internal requirements for data security and to meet external regulations with which they have to comply. These will be defined on a customer by customer basis and are included in customer contracts.</w:t>
      </w:r>
      <w:r w:rsidDel="00000000" w:rsidR="00000000" w:rsidRPr="00000000">
        <w:rPr>
          <w:rtl w:val="0"/>
        </w:rPr>
      </w:r>
    </w:p>
    <w:p w:rsidR="00000000" w:rsidDel="00000000" w:rsidP="00000000" w:rsidRDefault="00000000" w:rsidRPr="00000000" w14:paraId="0000004B">
      <w:pPr>
        <w:pStyle w:val="Heading2"/>
        <w:spacing w:before="122" w:line="246.99999999999994" w:lineRule="auto"/>
        <w:ind w:left="550" w:right="199" w:firstLine="0"/>
        <w:rPr/>
      </w:pPr>
      <w:bookmarkStart w:colFirst="0" w:colLast="0" w:name="_heading=h.4h2kd1xzvdm7" w:id="6"/>
      <w:bookmarkEnd w:id="6"/>
      <w:r w:rsidDel="00000000" w:rsidR="00000000" w:rsidRPr="00000000">
        <w:rPr>
          <w:sz w:val="24"/>
          <w:szCs w:val="24"/>
          <w:rtl w:val="0"/>
        </w:rPr>
        <w:t xml:space="preserve">M</w:t>
      </w:r>
      <w:r w:rsidDel="00000000" w:rsidR="00000000" w:rsidRPr="00000000">
        <w:rPr>
          <w:rtl w:val="0"/>
        </w:rPr>
        <w:t xml:space="preserve">arket Requirements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205" w:firstLine="0"/>
        <w:jc w:val="left"/>
        <w:rPr>
          <w:sz w:val="24"/>
          <w:szCs w:val="24"/>
        </w:rPr>
      </w:pPr>
      <w:r w:rsidDel="00000000" w:rsidR="00000000" w:rsidRPr="00000000">
        <w:rPr>
          <w:sz w:val="24"/>
          <w:szCs w:val="24"/>
          <w:rtl w:val="0"/>
        </w:rPr>
        <w:t xml:space="preserve">{organizations} customers range from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205" w:firstLine="0"/>
        <w:jc w:val="left"/>
        <w:rPr>
          <w:sz w:val="24"/>
          <w:szCs w:val="24"/>
        </w:rPr>
      </w:pPr>
      <w:r w:rsidDel="00000000" w:rsidR="00000000" w:rsidRPr="00000000">
        <w:rPr>
          <w:sz w:val="24"/>
          <w:szCs w:val="24"/>
          <w:rtl w:val="0"/>
        </w:rPr>
        <w:t xml:space="preserve">What kinds of data protection do the customers require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205" w:firstLine="0"/>
        <w:jc w:val="left"/>
        <w:rPr>
          <w:sz w:val="24"/>
          <w:szCs w:val="24"/>
        </w:rPr>
      </w:pPr>
      <w:r w:rsidDel="00000000" w:rsidR="00000000" w:rsidRPr="00000000">
        <w:rPr>
          <w:sz w:val="24"/>
          <w:szCs w:val="24"/>
          <w:rtl w:val="0"/>
        </w:rPr>
        <w:t xml:space="preserve">High availability needs from the customers.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205" w:firstLine="0"/>
        <w:jc w:val="left"/>
        <w:rPr>
          <w:sz w:val="24"/>
          <w:szCs w:val="24"/>
        </w:rPr>
      </w:pPr>
      <w:r w:rsidDel="00000000" w:rsidR="00000000" w:rsidRPr="00000000">
        <w:rPr>
          <w:sz w:val="24"/>
          <w:szCs w:val="24"/>
          <w:rtl w:val="0"/>
        </w:rPr>
        <w:t xml:space="preserve">The {organization} will do its best to manage customer expectations around security and availability.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205" w:firstLine="0"/>
        <w:jc w:val="lef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2"/>
        <w:spacing w:before="0" w:lineRule="auto"/>
        <w:ind w:firstLine="550"/>
        <w:rPr/>
      </w:pPr>
      <w:bookmarkStart w:colFirst="0" w:colLast="0" w:name="_heading=h.1t3h5sf" w:id="7"/>
      <w:bookmarkEnd w:id="7"/>
      <w:r w:rsidDel="00000000" w:rsidR="00000000" w:rsidRPr="00000000">
        <w:rPr>
          <w:rtl w:val="0"/>
        </w:rPr>
        <w:t xml:space="preserve">Regulatory Requirements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550" w:right="2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must comply with data privacy regulations that apply where the data reside and where end customers are located. Different regions, countries, and localities have different and sometimes conflicting data privacy and security requirements.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205" w:firstLine="0"/>
        <w:jc w:val="left"/>
        <w:rPr>
          <w:sz w:val="24"/>
          <w:szCs w:val="24"/>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practical matter, regulatory requirements are so voluminous and frequent that it is impossible to maintain a current, complete, and accurate library of all relevant global security regulations in the countries in which </w:t>
      </w: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operates. In order to fulfill this requirement, will maintain a listing of known requirements, typically compiled as a listing of regulatory references. These will be appended as discovered. Absence of the list is not indicative of non-compliance, rather it is indicative of no known requirements</w:t>
      </w:r>
      <w:r w:rsidDel="00000000" w:rsidR="00000000" w:rsidRPr="00000000">
        <w:rPr>
          <w:rtl w:val="0"/>
        </w:rPr>
      </w:r>
    </w:p>
    <w:p w:rsidR="00000000" w:rsidDel="00000000" w:rsidP="00000000" w:rsidRDefault="00000000" w:rsidRPr="00000000" w14:paraId="00000055">
      <w:pPr>
        <w:pStyle w:val="Heading2"/>
        <w:spacing w:before="124" w:line="246.99999999999994" w:lineRule="auto"/>
        <w:ind w:left="550" w:right="205" w:firstLine="0"/>
        <w:rPr/>
      </w:pPr>
      <w:bookmarkStart w:colFirst="0" w:colLast="0" w:name="_heading=h.34n8g3s0uicn" w:id="8"/>
      <w:bookmarkEnd w:id="8"/>
      <w:r w:rsidDel="00000000" w:rsidR="00000000" w:rsidRPr="00000000">
        <w:rPr>
          <w:sz w:val="24"/>
          <w:szCs w:val="24"/>
          <w:rtl w:val="0"/>
        </w:rPr>
        <w:t xml:space="preserve">S</w:t>
      </w:r>
      <w:r w:rsidDel="00000000" w:rsidR="00000000" w:rsidRPr="00000000">
        <w:rPr>
          <w:rtl w:val="0"/>
        </w:rPr>
        <w:t xml:space="preserve">uppliers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6.99999999999994" w:lineRule="auto"/>
        <w:ind w:left="550" w:right="2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{oganization} have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both external and internal vendors and suppliers. External vendors include commercial equipment and software license </w:t>
      </w:r>
      <w:r w:rsidDel="00000000" w:rsidR="00000000" w:rsidRPr="00000000">
        <w:rPr>
          <w:sz w:val="24"/>
          <w:szCs w:val="24"/>
          <w:rtl w:val="0"/>
        </w:rPr>
        <w:t xml:space="preserve">providers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SaaS application providers, and other services providers, including staffing agencies.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Vendor and third party management, particularly for the external providers, is critical to successful operations and is a key control called out in ISO 27001/2. External contracts shall be periodically reviewed and contact lists will be kept current. </w:t>
      </w: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will rely on vendor audit reports</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spacing w:before="1" w:lineRule="auto"/>
        <w:ind w:firstLine="550"/>
        <w:rPr/>
      </w:pPr>
      <w:bookmarkStart w:colFirst="0" w:colLast="0" w:name="_heading=h.2s8eyo1" w:id="9"/>
      <w:bookmarkEnd w:id="9"/>
      <w:r w:rsidDel="00000000" w:rsidR="00000000" w:rsidRPr="00000000">
        <w:rPr>
          <w:rtl w:val="0"/>
        </w:rPr>
        <w:t xml:space="preserve">Capabilities and Limitations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550" w:right="16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 has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staff of engineers, infrastructure, operations, and security experts with skills in server, network, storage, security, custom application management, and development in public cloud infrastructure.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pStyle w:val="Heading3"/>
        <w:numPr>
          <w:ilvl w:val="1"/>
          <w:numId w:val="1"/>
        </w:numPr>
        <w:tabs>
          <w:tab w:val="left" w:leader="none" w:pos="1354"/>
        </w:tabs>
        <w:spacing w:after="0" w:before="1" w:line="240" w:lineRule="auto"/>
        <w:ind w:left="1353" w:right="0" w:hanging="534"/>
        <w:jc w:val="left"/>
        <w:rPr/>
      </w:pPr>
      <w:bookmarkStart w:colFirst="0" w:colLast="0" w:name="_heading=h.17dp8vu" w:id="10"/>
      <w:bookmarkEnd w:id="10"/>
      <w:r w:rsidDel="00000000" w:rsidR="00000000" w:rsidRPr="00000000">
        <w:rPr>
          <w:rtl w:val="0"/>
        </w:rPr>
        <w:t xml:space="preserve">Determining the scope of the ISMS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tabs>
          <w:tab w:val="left" w:leader="none" w:pos="1269"/>
          <w:tab w:val="left" w:leader="none" w:pos="1270"/>
        </w:tabs>
        <w:spacing w:before="128" w:line="246.99999999999994" w:lineRule="auto"/>
        <w:ind w:left="550" w:right="223" w:firstLine="0"/>
        <w:rPr>
          <w:sz w:val="24"/>
          <w:szCs w:val="24"/>
          <w:u w:val="single"/>
        </w:rPr>
      </w:pPr>
      <w:r w:rsidDel="00000000" w:rsidR="00000000" w:rsidRPr="00000000">
        <w:rPr>
          <w:sz w:val="24"/>
          <w:szCs w:val="24"/>
          <w:u w:val="single"/>
          <w:rtl w:val="0"/>
        </w:rPr>
        <w:t xml:space="preserve">See ISMS Scope document.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3"/>
        <w:numPr>
          <w:ilvl w:val="1"/>
          <w:numId w:val="1"/>
        </w:numPr>
        <w:tabs>
          <w:tab w:val="left" w:leader="none" w:pos="1354"/>
        </w:tabs>
        <w:spacing w:after="0" w:before="0" w:line="240" w:lineRule="auto"/>
        <w:ind w:left="1353" w:right="0" w:hanging="534"/>
        <w:jc w:val="left"/>
        <w:rPr/>
      </w:pPr>
      <w:bookmarkStart w:colFirst="0" w:colLast="0" w:name="_heading=h.26in1rg" w:id="11"/>
      <w:bookmarkEnd w:id="11"/>
      <w:r w:rsidDel="00000000" w:rsidR="00000000" w:rsidRPr="00000000">
        <w:rPr>
          <w:rtl w:val="0"/>
        </w:rPr>
        <w:t xml:space="preserve">Information Security Management System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550" w:right="1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implement an Information Security Management System (ISMS) per ISO 27001:2013. This document describes the ISMS policy and includes management’s commitment, scope of the system, risk assessment process, formulating controls, and ongoing monitoring and maintenance of the system.</w:t>
      </w:r>
    </w:p>
    <w:p w:rsidR="00000000" w:rsidDel="00000000" w:rsidP="00000000" w:rsidRDefault="00000000" w:rsidRPr="00000000" w14:paraId="00000066">
      <w:pPr>
        <w:pStyle w:val="Heading2"/>
        <w:numPr>
          <w:ilvl w:val="2"/>
          <w:numId w:val="1"/>
        </w:numPr>
        <w:tabs>
          <w:tab w:val="left" w:leader="none" w:pos="1334"/>
        </w:tabs>
        <w:spacing w:after="0" w:before="185" w:line="240" w:lineRule="auto"/>
        <w:ind w:left="1333" w:right="0" w:hanging="784"/>
        <w:jc w:val="left"/>
        <w:rPr/>
      </w:pPr>
      <w:bookmarkStart w:colFirst="0" w:colLast="0" w:name="_heading=h.lnxbz9" w:id="12"/>
      <w:bookmarkEnd w:id="12"/>
      <w:r w:rsidDel="00000000" w:rsidR="00000000" w:rsidRPr="00000000">
        <w:rPr>
          <w:rtl w:val="0"/>
        </w:rPr>
        <w:t xml:space="preserve">General Requirements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have established, operated, monitored, reviewed, maintained, and improved a documented Information Security Management System (ISMS) within the context of overall business activities and associated risks. The ISMS is based on ISO 27001, which ensures monitoring the effectiveness of the ISMS and its continual improvement.</w:t>
      </w:r>
    </w:p>
    <w:p w:rsidR="00000000" w:rsidDel="00000000" w:rsidP="00000000" w:rsidRDefault="00000000" w:rsidRPr="00000000" w14:paraId="00000068">
      <w:pPr>
        <w:pStyle w:val="Heading2"/>
        <w:numPr>
          <w:ilvl w:val="2"/>
          <w:numId w:val="1"/>
        </w:numPr>
        <w:tabs>
          <w:tab w:val="left" w:leader="none" w:pos="1334"/>
        </w:tabs>
        <w:spacing w:after="0" w:before="183" w:line="240" w:lineRule="auto"/>
        <w:ind w:left="1333" w:right="0" w:hanging="784"/>
        <w:jc w:val="left"/>
        <w:rPr/>
      </w:pPr>
      <w:bookmarkStart w:colFirst="0" w:colLast="0" w:name="_heading=h.35nkun2" w:id="13"/>
      <w:bookmarkEnd w:id="13"/>
      <w:r w:rsidDel="00000000" w:rsidR="00000000" w:rsidRPr="00000000">
        <w:rPr>
          <w:rtl w:val="0"/>
        </w:rPr>
        <w:t xml:space="preserve">Establishing and Managing the ISMS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550" w:right="205" w:firstLine="0"/>
        <w:jc w:val="left"/>
        <w:rPr>
          <w:sz w:val="24"/>
          <w:szCs w:val="24"/>
        </w:rPr>
      </w:pPr>
      <w:r w:rsidDel="00000000" w:rsidR="00000000" w:rsidRPr="00000000">
        <w:rPr>
          <w:sz w:val="24"/>
          <w:szCs w:val="24"/>
          <w:rtl w:val="0"/>
        </w:rPr>
        <w:t xml:space="preserve">{Organization}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establish, document, implement and maintain the ISMS, which will cover all business activities and risk, and will continually improve its effectiveness in accordance with the requirements of ISO 27001:2013. The Management Oversight Board (M.O.B.) will be responsible for documenting the effectiveness of the ISMS and determine what modifications are neede</w:t>
      </w:r>
      <w:r w:rsidDel="00000000" w:rsidR="00000000" w:rsidRPr="00000000">
        <w:rPr>
          <w:sz w:val="24"/>
          <w:szCs w:val="24"/>
          <w:rtl w:val="0"/>
        </w:rPr>
        <w:t xml:space="preserve">d</w:t>
      </w:r>
    </w:p>
    <w:p w:rsidR="00000000" w:rsidDel="00000000" w:rsidP="00000000" w:rsidRDefault="00000000" w:rsidRPr="00000000" w14:paraId="0000006A">
      <w:pPr>
        <w:pStyle w:val="Heading2"/>
        <w:numPr>
          <w:ilvl w:val="2"/>
          <w:numId w:val="1"/>
        </w:numPr>
        <w:tabs>
          <w:tab w:val="left" w:leader="none" w:pos="1334"/>
        </w:tabs>
        <w:spacing w:before="183" w:lineRule="auto"/>
        <w:ind w:left="1333" w:hanging="784"/>
      </w:pPr>
      <w:bookmarkStart w:colFirst="0" w:colLast="0" w:name="_heading=h.se22z5metlq3" w:id="14"/>
      <w:bookmarkEnd w:id="14"/>
      <w:r w:rsidDel="00000000" w:rsidR="00000000" w:rsidRPr="00000000">
        <w:rPr>
          <w:rtl w:val="0"/>
        </w:rPr>
        <w:t xml:space="preserve">Establishing and Managing the ISMS</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steps shall be completed to initiate the ISMS:</w:t>
      </w:r>
    </w:p>
    <w:p w:rsidR="00000000" w:rsidDel="00000000" w:rsidP="00000000" w:rsidRDefault="00000000" w:rsidRPr="00000000" w14:paraId="0000006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180"/>
        </w:tabs>
        <w:spacing w:after="0" w:before="129" w:line="246.99999999999994" w:lineRule="auto"/>
        <w:ind w:left="1180" w:right="78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the scope of the ISMS in terms of the characteristics of the business, the organization, its location, assets, and technology</w:t>
      </w:r>
    </w:p>
    <w:p w:rsidR="00000000" w:rsidDel="00000000" w:rsidP="00000000" w:rsidRDefault="00000000" w:rsidRPr="00000000" w14:paraId="0000006D">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1" w:line="246.99999999999994" w:lineRule="auto"/>
        <w:ind w:left="1615" w:right="978"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an ISMS policy in terms of the characteristics of the business, the organization, its location, assets and technology that:</w:t>
      </w:r>
    </w:p>
    <w:p w:rsidR="00000000" w:rsidDel="00000000" w:rsidP="00000000" w:rsidRDefault="00000000" w:rsidRPr="00000000" w14:paraId="0000006E">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049"/>
          <w:tab w:val="left" w:leader="none" w:pos="2050"/>
        </w:tabs>
        <w:spacing w:after="0" w:before="2" w:line="246.99999999999994" w:lineRule="auto"/>
        <w:ind w:left="2050" w:right="576" w:hanging="366.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a framework for setting its objectives and establishes an overall sense of direction and principles for action with regard to information security;</w:t>
      </w:r>
    </w:p>
    <w:p w:rsidR="00000000" w:rsidDel="00000000" w:rsidP="00000000" w:rsidRDefault="00000000" w:rsidRPr="00000000" w14:paraId="0000006F">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049"/>
          <w:tab w:val="left" w:leader="none" w:pos="2050"/>
        </w:tabs>
        <w:spacing w:after="0" w:before="2" w:line="246.99999999999994" w:lineRule="auto"/>
        <w:ind w:left="2050" w:right="860" w:hanging="43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Takes into account business and legal or regulatory requirements, and contractual security obligations;</w:t>
      </w:r>
    </w:p>
    <w:p w:rsidR="00000000" w:rsidDel="00000000" w:rsidP="00000000" w:rsidRDefault="00000000" w:rsidRPr="00000000" w14:paraId="00000070">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049"/>
          <w:tab w:val="left" w:leader="none" w:pos="2050"/>
        </w:tabs>
        <w:spacing w:after="0" w:before="1" w:line="246.99999999999994" w:lineRule="auto"/>
        <w:ind w:left="2050" w:right="687" w:hanging="50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Establishes the strategic organizational and risk management context in which the establishment and maintenance of the ISMS will take place;</w:t>
      </w:r>
    </w:p>
    <w:p w:rsidR="00000000" w:rsidDel="00000000" w:rsidP="00000000" w:rsidRDefault="00000000" w:rsidRPr="00000000" w14:paraId="00000071">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049"/>
          <w:tab w:val="left" w:leader="none" w:pos="2050"/>
        </w:tabs>
        <w:spacing w:after="0" w:before="2" w:line="246.99999999999994" w:lineRule="auto"/>
        <w:ind w:left="2050" w:right="303" w:hanging="471.999999999999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Establishes criteria against which risk will be evaluated and the structure of the risk assessment will be defined; and</w:t>
      </w:r>
    </w:p>
    <w:p w:rsidR="00000000" w:rsidDel="00000000" w:rsidP="00000000" w:rsidRDefault="00000000" w:rsidRPr="00000000" w14:paraId="00000072">
      <w:pPr>
        <w:keepNext w:val="0"/>
        <w:keepLines w:val="0"/>
        <w:pageBreakBefore w:val="0"/>
        <w:widowControl w:val="0"/>
        <w:numPr>
          <w:ilvl w:val="5"/>
          <w:numId w:val="1"/>
        </w:numPr>
        <w:pBdr>
          <w:top w:space="0" w:sz="0" w:val="nil"/>
          <w:left w:space="0" w:sz="0" w:val="nil"/>
          <w:bottom w:space="0" w:sz="0" w:val="nil"/>
          <w:right w:space="0" w:sz="0" w:val="nil"/>
          <w:between w:space="0" w:sz="0" w:val="nil"/>
        </w:pBdr>
        <w:shd w:fill="auto" w:val="clear"/>
        <w:tabs>
          <w:tab w:val="left" w:leader="none" w:pos="2049"/>
          <w:tab w:val="left" w:leader="none" w:pos="2050"/>
        </w:tabs>
        <w:spacing w:after="0" w:before="1" w:line="240" w:lineRule="auto"/>
        <w:ind w:left="2050" w:right="0" w:hanging="40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been approved by appropriate management.</w:t>
      </w:r>
    </w:p>
    <w:p w:rsidR="00000000" w:rsidDel="00000000" w:rsidP="00000000" w:rsidRDefault="00000000" w:rsidRPr="00000000" w14:paraId="00000073">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180"/>
        </w:tabs>
        <w:spacing w:after="0" w:before="129" w:line="240" w:lineRule="auto"/>
        <w:ind w:left="1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a systematic approach to risk assessment as follows:</w:t>
      </w:r>
    </w:p>
    <w:p w:rsidR="00000000" w:rsidDel="00000000" w:rsidP="00000000" w:rsidRDefault="00000000" w:rsidRPr="00000000" w14:paraId="00000074">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615" w:right="177"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 method of risk assessment that is suited to the ISMS, and the identified business information security, legal and regulatory requirements. Set policy and objectives for the ISMS to reduce risks to acceptable levels;</w:t>
      </w:r>
    </w:p>
    <w:p w:rsidR="00000000" w:rsidDel="00000000" w:rsidP="00000000" w:rsidRDefault="00000000" w:rsidRPr="00000000" w14:paraId="00000075">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3" w:line="240" w:lineRule="auto"/>
        <w:ind w:left="161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risks;</w:t>
      </w:r>
    </w:p>
    <w:p w:rsidR="00000000" w:rsidDel="00000000" w:rsidP="00000000" w:rsidRDefault="00000000" w:rsidRPr="00000000" w14:paraId="00000076">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0" w:lineRule="auto"/>
        <w:ind w:left="161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assets of the ISMS and the owners of these assets;</w:t>
      </w:r>
    </w:p>
    <w:p w:rsidR="00000000" w:rsidDel="00000000" w:rsidP="00000000" w:rsidRDefault="00000000" w:rsidRPr="00000000" w14:paraId="00000077">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0" w:lineRule="auto"/>
        <w:ind w:left="161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threats to those assets;</w:t>
      </w:r>
    </w:p>
    <w:p w:rsidR="00000000" w:rsidDel="00000000" w:rsidP="00000000" w:rsidRDefault="00000000" w:rsidRPr="00000000" w14:paraId="00000078">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0" w:lineRule="auto"/>
        <w:ind w:left="161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vulnerabilities that might be exploited by the threats; and</w:t>
      </w:r>
    </w:p>
    <w:p w:rsidR="00000000" w:rsidDel="00000000" w:rsidP="00000000" w:rsidRDefault="00000000" w:rsidRPr="00000000" w14:paraId="00000079">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615" w:right="353"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the impacts that losses of confidentiality, integrity and availability may have on the assets</w:t>
      </w:r>
    </w:p>
    <w:p w:rsidR="00000000" w:rsidDel="00000000" w:rsidP="00000000" w:rsidRDefault="00000000" w:rsidRPr="00000000" w14:paraId="0000007A">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180"/>
        </w:tabs>
        <w:spacing w:after="0" w:before="121" w:line="240" w:lineRule="auto"/>
        <w:ind w:left="1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the risks:</w:t>
      </w:r>
    </w:p>
    <w:p w:rsidR="00000000" w:rsidDel="00000000" w:rsidP="00000000" w:rsidRDefault="00000000" w:rsidRPr="00000000" w14:paraId="0000007B">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615" w:right="564"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the business harm that might result from a security failure, taking into account the potential consequences (impact) of a loss of Confidentiality, Integrity, and Availability of the assets;</w:t>
      </w:r>
    </w:p>
    <w:p w:rsidR="00000000" w:rsidDel="00000000" w:rsidP="00000000" w:rsidRDefault="00000000" w:rsidRPr="00000000" w14:paraId="0000007C">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2" w:line="246.99999999999994" w:lineRule="auto"/>
        <w:ind w:left="1615" w:right="351"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 the realistic likelihood of such a security failure occurring in the light of prevailing threats and vulnerabilities and impacts associated with these assets, and the controls currently implemented;</w:t>
      </w:r>
    </w:p>
    <w:p w:rsidR="00000000" w:rsidDel="00000000" w:rsidP="00000000" w:rsidRDefault="00000000" w:rsidRPr="00000000" w14:paraId="0000007D">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3" w:line="240" w:lineRule="auto"/>
        <w:ind w:left="161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Estimate the levels of risks; and</w:t>
      </w:r>
    </w:p>
    <w:p w:rsidR="00000000" w:rsidDel="00000000" w:rsidP="00000000" w:rsidRDefault="00000000" w:rsidRPr="00000000" w14:paraId="0000007E">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615" w:right="339"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 whether the risk is acceptable or requires treatment using the criteria established.</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615" w:right="339" w:firstLine="0"/>
        <w:jc w:val="left"/>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180" w:right="3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and evaluate options for the treatment of risks:</w:t>
      </w:r>
    </w:p>
    <w:p w:rsidR="00000000" w:rsidDel="00000000" w:rsidP="00000000" w:rsidRDefault="00000000" w:rsidRPr="00000000" w14:paraId="00000081">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0" w:lineRule="auto"/>
        <w:ind w:left="1615" w:right="0"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actions include:</w:t>
      </w:r>
    </w:p>
    <w:p w:rsidR="00000000" w:rsidDel="00000000" w:rsidP="00000000" w:rsidRDefault="00000000" w:rsidRPr="00000000" w14:paraId="000000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79"/>
          <w:tab w:val="left" w:leader="none" w:pos="2080"/>
        </w:tabs>
        <w:spacing w:after="0" w:before="9" w:line="240" w:lineRule="auto"/>
        <w:ind w:left="2080" w:right="0"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applying appropriate controls;</w:t>
      </w:r>
    </w:p>
    <w:p w:rsidR="00000000" w:rsidDel="00000000" w:rsidP="00000000" w:rsidRDefault="00000000" w:rsidRPr="00000000" w14:paraId="0000008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79"/>
          <w:tab w:val="left" w:leader="none" w:pos="2080"/>
        </w:tabs>
        <w:spacing w:after="0" w:before="9" w:line="246.99999999999994" w:lineRule="auto"/>
        <w:ind w:left="2080" w:right="186"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knowingly and objectively accepting risks, providing they clearly satisfy the organization's policy and the criteria for risk assessment; and</w:t>
      </w:r>
    </w:p>
    <w:p w:rsidR="00000000" w:rsidDel="00000000" w:rsidP="00000000" w:rsidRDefault="00000000" w:rsidRPr="00000000" w14:paraId="0000008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79"/>
          <w:tab w:val="left" w:leader="none" w:pos="2080"/>
        </w:tabs>
        <w:spacing w:after="0" w:before="2" w:line="246.99999999999994" w:lineRule="auto"/>
        <w:ind w:left="2080" w:right="686" w:hanging="45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transferring the associated business risks to other parties (e.g. insurers, suppliers, etc.).</w:t>
      </w:r>
    </w:p>
    <w:p w:rsidR="00000000" w:rsidDel="00000000" w:rsidP="00000000" w:rsidRDefault="00000000" w:rsidRPr="00000000" w14:paraId="0000008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1180"/>
        </w:tabs>
        <w:spacing w:after="0" w:before="121" w:line="240" w:lineRule="auto"/>
        <w:ind w:left="11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control objectives and controls for the treatment of risks as follows:</w:t>
      </w:r>
    </w:p>
    <w:p w:rsidR="00000000" w:rsidDel="00000000" w:rsidP="00000000" w:rsidRDefault="00000000" w:rsidRPr="00000000" w14:paraId="00000086">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9" w:line="246.99999999999994" w:lineRule="auto"/>
        <w:ind w:left="1615" w:right="157"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Prepare a Statement of Applicability (see ISMS_06.01 Statement of Applicability ISO 2013);</w:t>
      </w:r>
    </w:p>
    <w:p w:rsidR="00000000" w:rsidDel="00000000" w:rsidP="00000000" w:rsidRDefault="00000000" w:rsidRPr="00000000" w14:paraId="00000087">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2" w:line="246.99999999999994" w:lineRule="auto"/>
        <w:ind w:left="1615" w:right="472"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control objectives and controls selected and the reasons for their selection shall be documented in the Statement of Applicability. The exclusion of any control objectives and controls shall also be documented; and</w:t>
      </w:r>
    </w:p>
    <w:p w:rsidR="00000000" w:rsidDel="00000000" w:rsidP="00000000" w:rsidRDefault="00000000" w:rsidRPr="00000000" w14:paraId="00000088">
      <w:pPr>
        <w:keepNext w:val="0"/>
        <w:keepLines w:val="0"/>
        <w:pageBreakBefore w:val="0"/>
        <w:widowControl w:val="0"/>
        <w:numPr>
          <w:ilvl w:val="4"/>
          <w:numId w:val="1"/>
        </w:numPr>
        <w:pBdr>
          <w:top w:space="0" w:sz="0" w:val="nil"/>
          <w:left w:space="0" w:sz="0" w:val="nil"/>
          <w:bottom w:space="0" w:sz="0" w:val="nil"/>
          <w:right w:space="0" w:sz="0" w:val="nil"/>
          <w:between w:space="0" w:sz="0" w:val="nil"/>
        </w:pBdr>
        <w:shd w:fill="auto" w:val="clear"/>
        <w:tabs>
          <w:tab w:val="left" w:leader="none" w:pos="1614"/>
          <w:tab w:val="left" w:leader="none" w:pos="1615"/>
        </w:tabs>
        <w:spacing w:after="0" w:before="2" w:line="246.99999999999994" w:lineRule="auto"/>
        <w:ind w:left="1615" w:right="558" w:hanging="43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management approval of the proposed residual risks and authorization to implement and operate the ISMS.</w:t>
      </w:r>
    </w:p>
    <w:p w:rsidR="00000000" w:rsidDel="00000000" w:rsidP="00000000" w:rsidRDefault="00000000" w:rsidRPr="00000000" w14:paraId="00000089">
      <w:pPr>
        <w:pStyle w:val="Heading2"/>
        <w:numPr>
          <w:ilvl w:val="2"/>
          <w:numId w:val="1"/>
        </w:numPr>
        <w:tabs>
          <w:tab w:val="left" w:leader="none" w:pos="1334"/>
        </w:tabs>
        <w:spacing w:after="0" w:before="181" w:line="240" w:lineRule="auto"/>
        <w:ind w:left="1333" w:right="0" w:hanging="784"/>
        <w:jc w:val="left"/>
        <w:rPr/>
      </w:pPr>
      <w:bookmarkStart w:colFirst="0" w:colLast="0" w:name="_heading=h.44sinio" w:id="15"/>
      <w:bookmarkEnd w:id="15"/>
      <w:r w:rsidDel="00000000" w:rsidR="00000000" w:rsidRPr="00000000">
        <w:rPr>
          <w:rtl w:val="0"/>
        </w:rPr>
        <w:t xml:space="preserve">Implement and Operate the ISMS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organization will develop a procedure to Implement and Operate the ISMS including documentation of supporting procedures.</w:t>
      </w:r>
    </w:p>
    <w:p w:rsidR="00000000" w:rsidDel="00000000" w:rsidP="00000000" w:rsidRDefault="00000000" w:rsidRPr="00000000" w14:paraId="0000008B">
      <w:pPr>
        <w:pStyle w:val="Heading2"/>
        <w:numPr>
          <w:ilvl w:val="2"/>
          <w:numId w:val="1"/>
        </w:numPr>
        <w:tabs>
          <w:tab w:val="left" w:leader="none" w:pos="1334"/>
        </w:tabs>
        <w:spacing w:after="0" w:before="181" w:line="240" w:lineRule="auto"/>
        <w:ind w:left="1333" w:right="0" w:hanging="784"/>
        <w:jc w:val="left"/>
        <w:rPr/>
      </w:pPr>
      <w:bookmarkStart w:colFirst="0" w:colLast="0" w:name="_heading=h.2jxsxqh" w:id="16"/>
      <w:bookmarkEnd w:id="16"/>
      <w:r w:rsidDel="00000000" w:rsidR="00000000" w:rsidRPr="00000000">
        <w:rPr>
          <w:rtl w:val="0"/>
        </w:rPr>
        <w:t xml:space="preserve">Monitor and Review the ISMS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6.99999999999994" w:lineRule="auto"/>
        <w:ind w:left="55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4"/>
          <w:szCs w:val="24"/>
          <w:rtl w:val="0"/>
        </w:rPr>
        <w:t xml:space="preserve">The organization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shall create and implement procedures in order to monitor and review the Information Security Management System.</w:t>
      </w:r>
    </w:p>
    <w:p w:rsidR="00000000" w:rsidDel="00000000" w:rsidP="00000000" w:rsidRDefault="00000000" w:rsidRPr="00000000" w14:paraId="0000008D">
      <w:pPr>
        <w:pStyle w:val="Heading2"/>
        <w:numPr>
          <w:ilvl w:val="2"/>
          <w:numId w:val="1"/>
        </w:numPr>
        <w:tabs>
          <w:tab w:val="left" w:leader="none" w:pos="1334"/>
        </w:tabs>
        <w:spacing w:after="0" w:before="181" w:line="240" w:lineRule="auto"/>
        <w:ind w:left="1333" w:right="0" w:hanging="784"/>
        <w:jc w:val="left"/>
        <w:rPr/>
      </w:pPr>
      <w:bookmarkStart w:colFirst="0" w:colLast="0" w:name="_heading=h.z337ya" w:id="17"/>
      <w:bookmarkEnd w:id="17"/>
      <w:r w:rsidDel="00000000" w:rsidR="00000000" w:rsidRPr="00000000">
        <w:rPr>
          <w:rtl w:val="0"/>
        </w:rPr>
        <w:t xml:space="preserve">Maintain and Improve the ISMS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6.99999999999994" w:lineRule="auto"/>
        <w:ind w:left="550" w:right="1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560" w:top="1360" w:left="1340" w:right="1300" w:header="280" w:footer="1375"/>
        </w:sectPr>
      </w:pPr>
      <w:r w:rsidDel="00000000" w:rsidR="00000000" w:rsidRPr="00000000">
        <w:rPr>
          <w:sz w:val="24"/>
          <w:szCs w:val="24"/>
          <w:rtl w:val="0"/>
        </w:rPr>
        <w:t xml:space="preserve">The organization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shall create and implement procedures in order to maintain and improve the Information Security Management System (ISMS).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spacing w:before="230" w:lineRule="auto"/>
        <w:ind w:left="100" w:right="0" w:firstLine="0"/>
        <w:jc w:val="left"/>
        <w:rPr>
          <w:rFonts w:ascii="Arial" w:cs="Arial" w:eastAsia="Arial" w:hAnsi="Arial"/>
          <w:sz w:val="22"/>
          <w:szCs w:val="22"/>
        </w:rPr>
      </w:pPr>
      <w:r w:rsidDel="00000000" w:rsidR="00000000" w:rsidRPr="00000000">
        <w:rPr>
          <w:rtl w:val="0"/>
        </w:rPr>
      </w:r>
    </w:p>
    <w:sectPr>
      <w:headerReference r:id="rId7" w:type="default"/>
      <w:footerReference r:id="rId8" w:type="default"/>
      <w:type w:val="nextPage"/>
      <w:pgSz w:h="15840" w:w="12240" w:orient="portrait"/>
      <w:pgMar w:bottom="920" w:top="1360" w:left="1340" w:right="1300" w:header="280" w:footer="7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2336800</wp:posOffset>
              </wp:positionH>
              <wp:positionV relativeFrom="paragraph">
                <wp:posOffset>9626600</wp:posOffset>
              </wp:positionV>
              <wp:extent cx="1625600" cy="191135"/>
              <wp:effectExtent b="0" l="0" r="0" t="0"/>
              <wp:wrapNone/>
              <wp:docPr id="8" name=""/>
              <a:graphic>
                <a:graphicData uri="http://schemas.microsoft.com/office/word/2010/wordprocessingShape">
                  <wps:wsp>
                    <wps:cNvSpPr/>
                    <wps:cNvPr id="2" name="Shape 2"/>
                    <wps:spPr>
                      <a:xfrm>
                        <a:off x="5388863" y="3689195"/>
                        <a:ext cx="1616075" cy="181610"/>
                      </a:xfrm>
                      <a:custGeom>
                        <a:rect b="b" l="l" r="r" t="t"/>
                        <a:pathLst>
                          <a:path extrusionOk="0" h="181610" w="1616075">
                            <a:moveTo>
                              <a:pt x="0" y="0"/>
                            </a:moveTo>
                            <a:lnTo>
                              <a:pt x="0" y="181610"/>
                            </a:lnTo>
                            <a:lnTo>
                              <a:pt x="1616075" y="181610"/>
                            </a:lnTo>
                            <a:lnTo>
                              <a:pt x="161607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Classification: INTERNAL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2336800</wp:posOffset>
              </wp:positionH>
              <wp:positionV relativeFrom="paragraph">
                <wp:posOffset>9626600</wp:posOffset>
              </wp:positionV>
              <wp:extent cx="1625600" cy="191135"/>
              <wp:effectExtent b="0" l="0" r="0" t="0"/>
              <wp:wrapNone/>
              <wp:docPr id="8"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25600" cy="1911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152400</wp:posOffset>
              </wp:positionH>
              <wp:positionV relativeFrom="paragraph">
                <wp:posOffset>9436100</wp:posOffset>
              </wp:positionV>
              <wp:extent cx="190500" cy="191135"/>
              <wp:effectExtent b="0" l="0" r="0" t="0"/>
              <wp:wrapNone/>
              <wp:docPr id="9" name=""/>
              <a:graphic>
                <a:graphicData uri="http://schemas.microsoft.com/office/word/2010/wordprocessingShape">
                  <wps:wsp>
                    <wps:cNvSpPr/>
                    <wps:cNvPr id="3" name="Shape 3"/>
                    <wps:spPr>
                      <a:xfrm>
                        <a:off x="6106413" y="3689195"/>
                        <a:ext cx="180975" cy="181610"/>
                      </a:xfrm>
                      <a:custGeom>
                        <a:rect b="b" l="l" r="r" t="t"/>
                        <a:pathLst>
                          <a:path extrusionOk="0" h="181610" w="180975">
                            <a:moveTo>
                              <a:pt x="0" y="0"/>
                            </a:moveTo>
                            <a:lnTo>
                              <a:pt x="0" y="181610"/>
                            </a:lnTo>
                            <a:lnTo>
                              <a:pt x="180975" y="181610"/>
                            </a:lnTo>
                            <a:lnTo>
                              <a:pt x="18097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10</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152400</wp:posOffset>
              </wp:positionH>
              <wp:positionV relativeFrom="paragraph">
                <wp:posOffset>9436100</wp:posOffset>
              </wp:positionV>
              <wp:extent cx="190500" cy="191135"/>
              <wp:effectExtent b="0" l="0" r="0" t="0"/>
              <wp:wrapNone/>
              <wp:docPr id="9"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90500" cy="1911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4"/>
      <w:numFmt w:val="decimalZero"/>
      <w:lvlText w:val="%1"/>
      <w:lvlJc w:val="left"/>
      <w:pPr>
        <w:ind w:left="1353" w:hanging="534"/>
      </w:pPr>
      <w:rPr/>
    </w:lvl>
    <w:lvl w:ilvl="1">
      <w:start w:val="1"/>
      <w:numFmt w:val="decimal"/>
      <w:lvlText w:val="%1.%2"/>
      <w:lvlJc w:val="left"/>
      <w:pPr>
        <w:ind w:left="1353" w:hanging="534"/>
      </w:pPr>
      <w:rPr>
        <w:rFonts w:ascii="Arial" w:cs="Arial" w:eastAsia="Arial" w:hAnsi="Arial"/>
        <w:b w:val="1"/>
        <w:i w:val="0"/>
        <w:sz w:val="24"/>
        <w:szCs w:val="24"/>
      </w:rPr>
    </w:lvl>
    <w:lvl w:ilvl="2">
      <w:start w:val="1"/>
      <w:numFmt w:val="decimal"/>
      <w:lvlText w:val="%1.%2.%3"/>
      <w:lvlJc w:val="left"/>
      <w:pPr>
        <w:ind w:left="1333" w:hanging="784"/>
      </w:pPr>
      <w:rPr>
        <w:rFonts w:ascii="Arial" w:cs="Arial" w:eastAsia="Arial" w:hAnsi="Arial"/>
        <w:b w:val="1"/>
        <w:i w:val="0"/>
        <w:sz w:val="26"/>
        <w:szCs w:val="26"/>
      </w:rPr>
    </w:lvl>
    <w:lvl w:ilvl="3">
      <w:start w:val="1"/>
      <w:numFmt w:val="decimal"/>
      <w:lvlText w:val="%4."/>
      <w:lvlJc w:val="left"/>
      <w:pPr>
        <w:ind w:left="1180" w:hanging="360"/>
      </w:pPr>
      <w:rPr>
        <w:rFonts w:ascii="Times New Roman" w:cs="Times New Roman" w:eastAsia="Times New Roman" w:hAnsi="Times New Roman"/>
        <w:b w:val="0"/>
        <w:i w:val="0"/>
        <w:sz w:val="24"/>
        <w:szCs w:val="24"/>
      </w:rPr>
    </w:lvl>
    <w:lvl w:ilvl="4">
      <w:start w:val="1"/>
      <w:numFmt w:val="lowerLetter"/>
      <w:lvlText w:val="%5."/>
      <w:lvlJc w:val="left"/>
      <w:pPr>
        <w:ind w:left="1615" w:hanging="435"/>
      </w:pPr>
      <w:rPr>
        <w:rFonts w:ascii="Times New Roman" w:cs="Times New Roman" w:eastAsia="Times New Roman" w:hAnsi="Times New Roman"/>
        <w:b w:val="0"/>
        <w:i w:val="0"/>
        <w:sz w:val="24"/>
        <w:szCs w:val="24"/>
      </w:rPr>
    </w:lvl>
    <w:lvl w:ilvl="5">
      <w:start w:val="1"/>
      <w:numFmt w:val="lowerRoman"/>
      <w:lvlText w:val="%6."/>
      <w:lvlJc w:val="left"/>
      <w:pPr>
        <w:ind w:left="2050" w:hanging="367"/>
      </w:pPr>
      <w:rPr>
        <w:rFonts w:ascii="Times New Roman" w:cs="Times New Roman" w:eastAsia="Times New Roman" w:hAnsi="Times New Roman"/>
        <w:b w:val="0"/>
        <w:i w:val="0"/>
        <w:sz w:val="24"/>
        <w:szCs w:val="24"/>
      </w:rPr>
    </w:lvl>
    <w:lvl w:ilvl="6">
      <w:start w:val="0"/>
      <w:numFmt w:val="bullet"/>
      <w:lvlText w:val="•"/>
      <w:lvlJc w:val="left"/>
      <w:pPr>
        <w:ind w:left="4573" w:hanging="367"/>
      </w:pPr>
      <w:rPr/>
    </w:lvl>
    <w:lvl w:ilvl="7">
      <w:start w:val="0"/>
      <w:numFmt w:val="bullet"/>
      <w:lvlText w:val="•"/>
      <w:lvlJc w:val="left"/>
      <w:pPr>
        <w:ind w:left="5830" w:hanging="367"/>
      </w:pPr>
      <w:rPr/>
    </w:lvl>
    <w:lvl w:ilvl="8">
      <w:start w:val="0"/>
      <w:numFmt w:val="bullet"/>
      <w:lvlText w:val="•"/>
      <w:lvlJc w:val="left"/>
      <w:pPr>
        <w:ind w:left="7086" w:hanging="367"/>
      </w:pPr>
      <w:rPr/>
    </w:lvl>
  </w:abstractNum>
  <w:abstractNum w:abstractNumId="2">
    <w:lvl w:ilvl="0">
      <w:start w:val="4"/>
      <w:numFmt w:val="decimalZero"/>
      <w:lvlText w:val="%1"/>
      <w:lvlJc w:val="left"/>
      <w:pPr>
        <w:ind w:left="940" w:hanging="480"/>
      </w:pPr>
      <w:rPr/>
    </w:lvl>
    <w:lvl w:ilvl="1">
      <w:start w:val="1"/>
      <w:numFmt w:val="decimal"/>
      <w:lvlText w:val="%1.%2"/>
      <w:lvlJc w:val="left"/>
      <w:pPr>
        <w:ind w:left="940" w:hanging="480"/>
      </w:pPr>
      <w:rPr>
        <w:rFonts w:ascii="Times New Roman" w:cs="Times New Roman" w:eastAsia="Times New Roman" w:hAnsi="Times New Roman"/>
        <w:b w:val="0"/>
        <w:i w:val="0"/>
        <w:sz w:val="24"/>
        <w:szCs w:val="24"/>
      </w:rPr>
    </w:lvl>
    <w:lvl w:ilvl="2">
      <w:start w:val="1"/>
      <w:numFmt w:val="decimal"/>
      <w:lvlText w:val="%1.%2.%3"/>
      <w:lvlJc w:val="left"/>
      <w:pPr>
        <w:ind w:left="1540" w:hanging="720"/>
      </w:pPr>
      <w:rPr>
        <w:rFonts w:ascii="Times New Roman" w:cs="Times New Roman" w:eastAsia="Times New Roman" w:hAnsi="Times New Roman"/>
        <w:b w:val="0"/>
        <w:i w:val="0"/>
        <w:sz w:val="24"/>
        <w:szCs w:val="24"/>
      </w:rPr>
    </w:lvl>
    <w:lvl w:ilvl="3">
      <w:start w:val="0"/>
      <w:numFmt w:val="bullet"/>
      <w:lvlText w:val="•"/>
      <w:lvlJc w:val="left"/>
      <w:pPr>
        <w:ind w:left="3331" w:hanging="720"/>
      </w:pPr>
      <w:rPr/>
    </w:lvl>
    <w:lvl w:ilvl="4">
      <w:start w:val="0"/>
      <w:numFmt w:val="bullet"/>
      <w:lvlText w:val="•"/>
      <w:lvlJc w:val="left"/>
      <w:pPr>
        <w:ind w:left="4226" w:hanging="720"/>
      </w:pPr>
      <w:rPr/>
    </w:lvl>
    <w:lvl w:ilvl="5">
      <w:start w:val="0"/>
      <w:numFmt w:val="bullet"/>
      <w:lvlText w:val="•"/>
      <w:lvlJc w:val="left"/>
      <w:pPr>
        <w:ind w:left="5122" w:hanging="720"/>
      </w:pPr>
      <w:rPr/>
    </w:lvl>
    <w:lvl w:ilvl="6">
      <w:start w:val="0"/>
      <w:numFmt w:val="bullet"/>
      <w:lvlText w:val="•"/>
      <w:lvlJc w:val="left"/>
      <w:pPr>
        <w:ind w:left="6017" w:hanging="720"/>
      </w:pPr>
      <w:rPr/>
    </w:lvl>
    <w:lvl w:ilvl="7">
      <w:start w:val="0"/>
      <w:numFmt w:val="bullet"/>
      <w:lvlText w:val="•"/>
      <w:lvlJc w:val="left"/>
      <w:pPr>
        <w:ind w:left="6913" w:hanging="720"/>
      </w:pPr>
      <w:rPr/>
    </w:lvl>
    <w:lvl w:ilvl="8">
      <w:start w:val="0"/>
      <w:numFmt w:val="bullet"/>
      <w:lvlText w:val="•"/>
      <w:lvlJc w:val="left"/>
      <w:pPr>
        <w:ind w:left="7808" w:hanging="72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2080" w:hanging="450"/>
      </w:pPr>
      <w:rPr>
        <w:rFonts w:ascii="Times New Roman" w:cs="Times New Roman" w:eastAsia="Times New Roman" w:hAnsi="Times New Roman"/>
        <w:b w:val="0"/>
        <w:i w:val="0"/>
        <w:sz w:val="24"/>
        <w:szCs w:val="24"/>
      </w:rPr>
    </w:lvl>
    <w:lvl w:ilvl="1">
      <w:start w:val="0"/>
      <w:numFmt w:val="bullet"/>
      <w:lvlText w:val="•"/>
      <w:lvlJc w:val="left"/>
      <w:pPr>
        <w:ind w:left="2832" w:hanging="450"/>
      </w:pPr>
      <w:rPr/>
    </w:lvl>
    <w:lvl w:ilvl="2">
      <w:start w:val="0"/>
      <w:numFmt w:val="bullet"/>
      <w:lvlText w:val="•"/>
      <w:lvlJc w:val="left"/>
      <w:pPr>
        <w:ind w:left="3584" w:hanging="450"/>
      </w:pPr>
      <w:rPr/>
    </w:lvl>
    <w:lvl w:ilvl="3">
      <w:start w:val="0"/>
      <w:numFmt w:val="bullet"/>
      <w:lvlText w:val="•"/>
      <w:lvlJc w:val="left"/>
      <w:pPr>
        <w:ind w:left="4336" w:hanging="450"/>
      </w:pPr>
      <w:rPr/>
    </w:lvl>
    <w:lvl w:ilvl="4">
      <w:start w:val="0"/>
      <w:numFmt w:val="bullet"/>
      <w:lvlText w:val="•"/>
      <w:lvlJc w:val="left"/>
      <w:pPr>
        <w:ind w:left="5088" w:hanging="450"/>
      </w:pPr>
      <w:rPr/>
    </w:lvl>
    <w:lvl w:ilvl="5">
      <w:start w:val="0"/>
      <w:numFmt w:val="bullet"/>
      <w:lvlText w:val="•"/>
      <w:lvlJc w:val="left"/>
      <w:pPr>
        <w:ind w:left="5840" w:hanging="450"/>
      </w:pPr>
      <w:rPr/>
    </w:lvl>
    <w:lvl w:ilvl="6">
      <w:start w:val="0"/>
      <w:numFmt w:val="bullet"/>
      <w:lvlText w:val="•"/>
      <w:lvlJc w:val="left"/>
      <w:pPr>
        <w:ind w:left="6592" w:hanging="450"/>
      </w:pPr>
      <w:rPr/>
    </w:lvl>
    <w:lvl w:ilvl="7">
      <w:start w:val="0"/>
      <w:numFmt w:val="bullet"/>
      <w:lvlText w:val="•"/>
      <w:lvlJc w:val="left"/>
      <w:pPr>
        <w:ind w:left="7344" w:hanging="450"/>
      </w:pPr>
      <w:rPr/>
    </w:lvl>
    <w:lvl w:ilvl="8">
      <w:start w:val="0"/>
      <w:numFmt w:val="bullet"/>
      <w:lvlText w:val="•"/>
      <w:lvlJc w:val="left"/>
      <w:pPr>
        <w:ind w:left="8096" w:hanging="450"/>
      </w:pPr>
      <w:rPr/>
    </w:lvl>
  </w:abstractNum>
  <w:abstractNum w:abstractNumId="5">
    <w:lvl w:ilvl="0">
      <w:start w:val="0"/>
      <w:numFmt w:val="bullet"/>
      <w:lvlText w:val="●"/>
      <w:lvlJc w:val="left"/>
      <w:pPr>
        <w:ind w:left="1540" w:hanging="360"/>
      </w:pPr>
      <w:rPr>
        <w:rFonts w:ascii="Arial" w:cs="Arial" w:eastAsia="Arial" w:hAnsi="Arial"/>
        <w:b w:val="0"/>
        <w:i w:val="0"/>
        <w:sz w:val="24"/>
        <w:szCs w:val="24"/>
      </w:rPr>
    </w:lvl>
    <w:lvl w:ilvl="1">
      <w:start w:val="0"/>
      <w:numFmt w:val="bullet"/>
      <w:lvlText w:val="•"/>
      <w:lvlJc w:val="left"/>
      <w:pPr>
        <w:ind w:left="2346" w:hanging="360"/>
      </w:pPr>
      <w:rPr/>
    </w:lvl>
    <w:lvl w:ilvl="2">
      <w:start w:val="0"/>
      <w:numFmt w:val="bullet"/>
      <w:lvlText w:val="•"/>
      <w:lvlJc w:val="left"/>
      <w:pPr>
        <w:ind w:left="3152" w:hanging="360"/>
      </w:pPr>
      <w:rPr/>
    </w:lvl>
    <w:lvl w:ilvl="3">
      <w:start w:val="0"/>
      <w:numFmt w:val="bullet"/>
      <w:lvlText w:val="•"/>
      <w:lvlJc w:val="left"/>
      <w:pPr>
        <w:ind w:left="3958" w:hanging="360"/>
      </w:pPr>
      <w:rPr/>
    </w:lvl>
    <w:lvl w:ilvl="4">
      <w:start w:val="0"/>
      <w:numFmt w:val="bullet"/>
      <w:lvlText w:val="•"/>
      <w:lvlJc w:val="left"/>
      <w:pPr>
        <w:ind w:left="4764" w:hanging="360"/>
      </w:pPr>
      <w:rPr/>
    </w:lvl>
    <w:lvl w:ilvl="5">
      <w:start w:val="0"/>
      <w:numFmt w:val="bullet"/>
      <w:lvlText w:val="•"/>
      <w:lvlJc w:val="left"/>
      <w:pPr>
        <w:ind w:left="5570" w:hanging="360"/>
      </w:pPr>
      <w:rPr/>
    </w:lvl>
    <w:lvl w:ilvl="6">
      <w:start w:val="0"/>
      <w:numFmt w:val="bullet"/>
      <w:lvlText w:val="•"/>
      <w:lvlJc w:val="left"/>
      <w:pPr>
        <w:ind w:left="6376" w:hanging="360"/>
      </w:pPr>
      <w:rPr/>
    </w:lvl>
    <w:lvl w:ilvl="7">
      <w:start w:val="0"/>
      <w:numFmt w:val="bullet"/>
      <w:lvlText w:val="•"/>
      <w:lvlJc w:val="left"/>
      <w:pPr>
        <w:ind w:left="7182" w:hanging="360"/>
      </w:pPr>
      <w:rPr/>
    </w:lvl>
    <w:lvl w:ilvl="8">
      <w:start w:val="0"/>
      <w:numFmt w:val="bullet"/>
      <w:lvlText w:val="•"/>
      <w:lvlJc w:val="left"/>
      <w:pPr>
        <w:ind w:left="7988"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916" w:right="1953"/>
      <w:jc w:val="center"/>
    </w:pPr>
    <w:rPr>
      <w:rFonts w:ascii="Arial" w:cs="Arial" w:eastAsia="Arial" w:hAnsi="Arial"/>
      <w:b w:val="1"/>
      <w:sz w:val="28"/>
      <w:szCs w:val="28"/>
    </w:rPr>
  </w:style>
  <w:style w:type="paragraph" w:styleId="Heading2">
    <w:name w:val="heading 2"/>
    <w:basedOn w:val="Normal"/>
    <w:next w:val="Normal"/>
    <w:pPr>
      <w:spacing w:before="181" w:lineRule="auto"/>
      <w:ind w:left="550"/>
    </w:pPr>
    <w:rPr>
      <w:rFonts w:ascii="Arial" w:cs="Arial" w:eastAsia="Arial" w:hAnsi="Arial"/>
      <w:b w:val="1"/>
      <w:sz w:val="26"/>
      <w:szCs w:val="26"/>
    </w:rPr>
  </w:style>
  <w:style w:type="paragraph" w:styleId="Heading3">
    <w:name w:val="heading 3"/>
    <w:basedOn w:val="Normal"/>
    <w:next w:val="Normal"/>
    <w:pPr>
      <w:spacing w:before="1" w:lineRule="auto"/>
      <w:ind w:left="1353" w:hanging="534"/>
    </w:pPr>
    <w:rPr>
      <w:rFonts w:ascii="Arial" w:cs="Arial" w:eastAsia="Arial" w:hAnsi="Arial"/>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TOC1">
    <w:name w:val="TOC 1"/>
    <w:basedOn w:val="Normal"/>
    <w:uiPriority w:val="1"/>
    <w:qFormat w:val="1"/>
    <w:pPr>
      <w:spacing w:before="80"/>
      <w:ind w:left="100"/>
    </w:pPr>
    <w:rPr>
      <w:rFonts w:ascii="Times New Roman" w:cs="Times New Roman" w:eastAsia="Times New Roman" w:hAnsi="Times New Roman"/>
      <w:b w:val="1"/>
      <w:bCs w:val="1"/>
      <w:sz w:val="24"/>
      <w:szCs w:val="24"/>
      <w:lang w:bidi="ar-SA" w:eastAsia="en-US" w:val="en-US"/>
    </w:rPr>
  </w:style>
  <w:style w:type="paragraph" w:styleId="TOC2">
    <w:name w:val="TOC 2"/>
    <w:basedOn w:val="Normal"/>
    <w:uiPriority w:val="1"/>
    <w:qFormat w:val="1"/>
    <w:pPr>
      <w:spacing w:before="129"/>
      <w:ind w:left="940" w:hanging="480"/>
    </w:pPr>
    <w:rPr>
      <w:rFonts w:ascii="Times New Roman" w:cs="Times New Roman" w:eastAsia="Times New Roman" w:hAnsi="Times New Roman"/>
      <w:sz w:val="24"/>
      <w:szCs w:val="24"/>
      <w:lang w:bidi="ar-SA" w:eastAsia="en-US" w:val="en-US"/>
    </w:rPr>
  </w:style>
  <w:style w:type="paragraph" w:styleId="TOC3">
    <w:name w:val="TOC 3"/>
    <w:basedOn w:val="Normal"/>
    <w:uiPriority w:val="1"/>
    <w:qFormat w:val="1"/>
    <w:pPr>
      <w:spacing w:before="129"/>
      <w:ind w:left="820"/>
    </w:pPr>
    <w:rPr>
      <w:rFonts w:ascii="Times New Roman" w:cs="Times New Roman" w:eastAsia="Times New Roman" w:hAnsi="Times New Roman"/>
      <w:sz w:val="24"/>
      <w:szCs w:val="24"/>
      <w:lang w:bidi="ar-SA" w:eastAsia="en-US" w:val="en-US"/>
    </w:rPr>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Heading1">
    <w:name w:val="Heading 1"/>
    <w:basedOn w:val="Normal"/>
    <w:uiPriority w:val="1"/>
    <w:qFormat w:val="1"/>
    <w:pPr>
      <w:ind w:left="1916" w:right="1953"/>
      <w:jc w:val="center"/>
      <w:outlineLvl w:val="1"/>
    </w:pPr>
    <w:rPr>
      <w:rFonts w:ascii="Arial" w:cs="Arial" w:eastAsia="Arial" w:hAnsi="Arial"/>
      <w:b w:val="1"/>
      <w:bCs w:val="1"/>
      <w:sz w:val="28"/>
      <w:szCs w:val="28"/>
      <w:lang w:bidi="ar-SA" w:eastAsia="en-US" w:val="en-US"/>
    </w:rPr>
  </w:style>
  <w:style w:type="paragraph" w:styleId="Heading2">
    <w:name w:val="Heading 2"/>
    <w:basedOn w:val="Normal"/>
    <w:uiPriority w:val="1"/>
    <w:qFormat w:val="1"/>
    <w:pPr>
      <w:spacing w:before="181"/>
      <w:ind w:left="550"/>
      <w:outlineLvl w:val="2"/>
    </w:pPr>
    <w:rPr>
      <w:rFonts w:ascii="Arial" w:cs="Arial" w:eastAsia="Arial" w:hAnsi="Arial"/>
      <w:b w:val="1"/>
      <w:bCs w:val="1"/>
      <w:sz w:val="26"/>
      <w:szCs w:val="26"/>
      <w:lang w:bidi="ar-SA" w:eastAsia="en-US" w:val="en-US"/>
    </w:rPr>
  </w:style>
  <w:style w:type="paragraph" w:styleId="Heading3">
    <w:name w:val="Heading 3"/>
    <w:basedOn w:val="Normal"/>
    <w:uiPriority w:val="1"/>
    <w:qFormat w:val="1"/>
    <w:pPr>
      <w:spacing w:before="1"/>
      <w:ind w:left="1353" w:hanging="534"/>
      <w:outlineLvl w:val="3"/>
    </w:pPr>
    <w:rPr>
      <w:rFonts w:ascii="Arial" w:cs="Arial" w:eastAsia="Arial" w:hAnsi="Arial"/>
      <w:b w:val="1"/>
      <w:bCs w:val="1"/>
      <w:sz w:val="24"/>
      <w:szCs w:val="24"/>
      <w:lang w:bidi="ar-SA" w:eastAsia="en-US" w:val="en-US"/>
    </w:rPr>
  </w:style>
  <w:style w:type="paragraph" w:styleId="ListParagraph">
    <w:name w:val="List Paragraph"/>
    <w:basedOn w:val="Normal"/>
    <w:uiPriority w:val="1"/>
    <w:qFormat w:val="1"/>
    <w:pPr>
      <w:spacing w:before="9"/>
      <w:ind w:left="1540" w:hanging="435"/>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100"/>
      <w:ind w:left="89"/>
    </w:pPr>
    <w:rPr>
      <w:rFonts w:ascii="Arial" w:cs="Arial" w:eastAsia="Arial" w:hAnsi="Arial"/>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CD4CH7jXew1J/BbKWgA9IaKjUBw==">AMUW2mWSr5LrAiz7GaiYNTle9rNV/CD6xd/h3v6rjYLMsFmsBRRSGeXdlLioYC1Nr9xkCRz0xrqpeyZkLYHLFYBZe2DmYpVEm5KeTIvy3tSRPOZtH4r2NPvZmVyCTlITJrRwM2TMwajsaGYc/eW+YpAaZiRectSoB7ktP3CNYS6fEjtIifCKiiKNPfyudccrqafMy+gVyB1irAc1FZ7nSV8BuzbXbhTguI38xPadSeJUHPJ6p1lsJXyU6V8N75iJVwIlx+eWsdU4R0BwwgelJCRIsrIevbfwnheBnP5JBt0Q/HV0bqHX7vboxZTBrZycdLQfgwMbjikhN8vLR4IXOIbjcXzOmuWMvlZp0YSp8thpUjB4fUDM4G8xlFBCy+h1i6yApKhjxD6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2022-08-11T16:09:08Z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m93 Google Docs Renderer</vt:lpwstr>
  </property>
</Properties>
</file>