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spacing w:before="91" w:lineRule="auto"/>
        <w:ind w:firstLine="3605"/>
        <w:rPr/>
      </w:pPr>
      <w:bookmarkStart w:colFirst="0" w:colLast="0" w:name="_heading=h.gjdgxs" w:id="0"/>
      <w:bookmarkEnd w:id="0"/>
      <w:r w:rsidDel="00000000" w:rsidR="00000000" w:rsidRPr="00000000">
        <w:rPr>
          <w:rtl w:val="0"/>
        </w:rPr>
        <w:t xml:space="preserve">ISMS 06 </w:t>
      </w:r>
      <w:r w:rsidDel="00000000" w:rsidR="00000000" w:rsidRPr="00000000">
        <w:rPr>
          <w:color w:val="333333"/>
          <w:rtl w:val="0"/>
        </w:rPr>
        <w:t xml:space="preserve">Planning</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tbl>
      <w:tblPr>
        <w:tblStyle w:val="Table1"/>
        <w:tblW w:w="9360.0" w:type="dxa"/>
        <w:jc w:val="left"/>
        <w:tblInd w:w="130.0" w:type="dxa"/>
        <w:tblBorders>
          <w:top w:color="878787" w:space="0" w:sz="12" w:val="single"/>
          <w:left w:color="878787" w:space="0" w:sz="12" w:val="single"/>
          <w:bottom w:color="878787" w:space="0" w:sz="12" w:val="single"/>
          <w:right w:color="878787" w:space="0" w:sz="12" w:val="single"/>
          <w:insideH w:color="878787" w:space="0" w:sz="12" w:val="single"/>
          <w:insideV w:color="878787" w:space="0" w:sz="12" w:val="single"/>
        </w:tblBorders>
        <w:tblLayout w:type="fixed"/>
        <w:tblLook w:val="0000"/>
      </w:tblPr>
      <w:tblGrid>
        <w:gridCol w:w="2040"/>
        <w:gridCol w:w="7320"/>
        <w:tblGridChange w:id="0">
          <w:tblGrid>
            <w:gridCol w:w="2040"/>
            <w:gridCol w:w="7320"/>
          </w:tblGrid>
        </w:tblGridChange>
      </w:tblGrid>
      <w:tr>
        <w:trPr>
          <w:cantSplit w:val="0"/>
          <w:trHeight w:val="450"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ISMS No.</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ISMS 06</w:t>
            </w:r>
          </w:p>
        </w:tc>
      </w:tr>
      <w:tr>
        <w:trPr>
          <w:cantSplit w:val="0"/>
          <w:trHeight w:val="509"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Title</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9"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Planning</w:t>
            </w:r>
          </w:p>
        </w:tc>
      </w:tr>
      <w:tr>
        <w:trPr>
          <w:cantSplit w:val="0"/>
          <w:trHeight w:val="450"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Revision</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Effective Date</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8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11"/>
          <w:szCs w:val="11"/>
          <w:u w:val="none"/>
          <w:shd w:fill="auto" w:val="clear"/>
          <w:vertAlign w:val="baseline"/>
        </w:rPr>
      </w:pPr>
      <w:r w:rsidDel="00000000" w:rsidR="00000000" w:rsidRPr="00000000">
        <w:rPr>
          <w:rtl w:val="0"/>
        </w:rPr>
      </w:r>
    </w:p>
    <w:tbl>
      <w:tblPr>
        <w:tblStyle w:val="Table2"/>
        <w:tblW w:w="9360.0" w:type="dxa"/>
        <w:jc w:val="left"/>
        <w:tblInd w:w="130.0" w:type="dxa"/>
        <w:tblBorders>
          <w:top w:color="878787" w:space="0" w:sz="12" w:val="single"/>
          <w:left w:color="878787" w:space="0" w:sz="12" w:val="single"/>
          <w:bottom w:color="878787" w:space="0" w:sz="12" w:val="single"/>
          <w:right w:color="878787" w:space="0" w:sz="12" w:val="single"/>
          <w:insideH w:color="878787" w:space="0" w:sz="12" w:val="single"/>
          <w:insideV w:color="878787" w:space="0" w:sz="12" w:val="single"/>
        </w:tblBorders>
        <w:tblLayout w:type="fixed"/>
        <w:tblLook w:val="0000"/>
      </w:tblPr>
      <w:tblGrid>
        <w:gridCol w:w="1400"/>
        <w:gridCol w:w="1680"/>
        <w:gridCol w:w="1700"/>
        <w:gridCol w:w="1640"/>
        <w:gridCol w:w="2940"/>
        <w:tblGridChange w:id="0">
          <w:tblGrid>
            <w:gridCol w:w="1400"/>
            <w:gridCol w:w="1680"/>
            <w:gridCol w:w="1700"/>
            <w:gridCol w:w="1640"/>
            <w:gridCol w:w="2940"/>
          </w:tblGrid>
        </w:tblGridChange>
      </w:tblGrid>
      <w:tr>
        <w:trPr>
          <w:cantSplit w:val="0"/>
          <w:trHeight w:val="770"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6.99999999999994" w:lineRule="auto"/>
              <w:ind w:left="89" w:right="107" w:firstLine="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Revision No.</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5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Revision Date</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Received by</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4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Approved by</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4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Revision Description</w:t>
            </w:r>
          </w:p>
        </w:tc>
      </w:tr>
      <w:tr>
        <w:trPr>
          <w:cantSplit w:val="0"/>
          <w:trHeight w:val="769"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4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1.x</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E">
      <w:pPr>
        <w:spacing w:after="0" w:line="240" w:lineRule="auto"/>
        <w:ind w:firstLine="0"/>
        <w:jc w:val="left"/>
        <w:rPr>
          <w:rFonts w:ascii="Verdana" w:cs="Verdana" w:eastAsia="Verdana" w:hAnsi="Verdana"/>
          <w:sz w:val="20"/>
          <w:szCs w:val="20"/>
        </w:rPr>
        <w:sectPr>
          <w:pgSz w:h="15840" w:w="12240" w:orient="portrait"/>
          <w:pgMar w:bottom="1480" w:top="1360" w:left="1340" w:right="1300" w:header="280" w:footer="1295"/>
          <w:pgNumType w:start="1"/>
        </w:sect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9459"/>
        </w:tabs>
        <w:spacing w:after="0" w:before="80" w:line="240" w:lineRule="auto"/>
        <w:ind w:left="1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ISMS 06 Planning</w:t>
        </w:r>
      </w:hyperlink>
      <w:hyperlink w:anchor="_heading=h.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heading=h.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9459"/>
        </w:tabs>
        <w:spacing w:after="0" w:before="209" w:line="240" w:lineRule="auto"/>
        <w:ind w:left="1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ISMS 06 Planning</w:t>
        </w:r>
      </w:hyperlink>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heading=h.30j0zl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927"/>
          <w:tab w:val="right" w:pos="9459"/>
        </w:tabs>
        <w:spacing w:after="0" w:before="139" w:line="240" w:lineRule="auto"/>
        <w:ind w:left="926" w:right="0" w:hanging="467"/>
        <w:jc w:val="left"/>
        <w:rPr/>
      </w:pPr>
      <w:hyperlink w:anchor="_heading=h.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Actions to address risks and responsibilities</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pos="1480"/>
          <w:tab w:val="right" w:pos="9459"/>
        </w:tabs>
        <w:spacing w:after="0" w:before="129" w:line="240" w:lineRule="auto"/>
        <w:ind w:left="1480" w:right="0" w:hanging="660"/>
        <w:jc w:val="left"/>
        <w:rPr/>
      </w:pPr>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pos="1480"/>
          <w:tab w:val="right" w:pos="9459"/>
        </w:tabs>
        <w:spacing w:after="0" w:before="129" w:line="240" w:lineRule="auto"/>
        <w:ind w:left="1480" w:right="0" w:hanging="660"/>
        <w:jc w:val="left"/>
        <w:rPr/>
      </w:pPr>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Risk Assessment</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pos="1480"/>
          <w:tab w:val="right" w:pos="9459"/>
        </w:tabs>
        <w:spacing w:after="0" w:before="129" w:line="240" w:lineRule="auto"/>
        <w:ind w:left="1480" w:right="0" w:hanging="660"/>
        <w:jc w:val="left"/>
        <w:rPr/>
      </w:pPr>
      <w:hyperlink w:anchor="_heading=h.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 security risk treatment</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pos="940"/>
          <w:tab w:val="right" w:pos="9459"/>
        </w:tabs>
        <w:spacing w:after="0" w:before="129" w:line="240" w:lineRule="auto"/>
        <w:ind w:left="940" w:right="0" w:hanging="480"/>
        <w:jc w:val="left"/>
        <w:rPr/>
      </w:pPr>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 Security Objectives and planning to achieve them</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9459"/>
        </w:tabs>
        <w:spacing w:after="0" w:before="129" w:line="240" w:lineRule="auto"/>
        <w:ind w:left="4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560" w:top="1360" w:left="1340" w:right="1300" w:header="280" w:footer="1295"/>
        </w:sectPr>
      </w:pPr>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1"/>
        <w:ind w:firstLine="3605"/>
        <w:rPr/>
      </w:pPr>
      <w:bookmarkStart w:colFirst="0" w:colLast="0" w:name="_heading=h.30j0zll" w:id="1"/>
      <w:bookmarkEnd w:id="1"/>
      <w:r w:rsidDel="00000000" w:rsidR="00000000" w:rsidRPr="00000000">
        <w:rPr>
          <w:rtl w:val="0"/>
        </w:rPr>
        <w:t xml:space="preserve">ISMS 06 Planning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general practice, </w:t>
      </w:r>
      <w:r w:rsidDel="00000000" w:rsidR="00000000" w:rsidRPr="00000000">
        <w:rPr>
          <w:sz w:val="24"/>
          <w:szCs w:val="24"/>
          <w:rtl w:val="0"/>
        </w:rPr>
        <w:t xml:space="preserve">the {organization}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understand and affirm its support of</w:t>
      </w:r>
    </w:p>
    <w:p w:rsidR="00000000" w:rsidDel="00000000" w:rsidP="00000000" w:rsidRDefault="00000000" w:rsidRPr="00000000" w14:paraId="0000002B">
      <w:pPr>
        <w:spacing w:before="9" w:lineRule="auto"/>
        <w:ind w:left="100" w:right="0" w:firstLine="0"/>
        <w:jc w:val="left"/>
        <w:rPr>
          <w:sz w:val="24"/>
          <w:szCs w:val="24"/>
        </w:rPr>
      </w:pPr>
      <w:r w:rsidDel="00000000" w:rsidR="00000000" w:rsidRPr="00000000">
        <w:rPr>
          <w:i w:val="1"/>
          <w:sz w:val="24"/>
          <w:szCs w:val="24"/>
          <w:rtl w:val="0"/>
        </w:rPr>
        <w:t xml:space="preserve">ISO/IEC 27001:2013-6 Planning</w:t>
      </w:r>
      <w:r w:rsidDel="00000000" w:rsidR="00000000" w:rsidRPr="00000000">
        <w:rPr>
          <w:sz w:val="24"/>
          <w:szCs w:val="24"/>
          <w:rtl w:val="0"/>
        </w:rPr>
        <w:t xml:space="preserve">, with the following specific policy guidance.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3"/>
        <w:numPr>
          <w:ilvl w:val="1"/>
          <w:numId w:val="1"/>
        </w:numPr>
        <w:tabs>
          <w:tab w:val="left" w:pos="625"/>
        </w:tabs>
        <w:spacing w:after="0" w:before="0" w:line="240" w:lineRule="auto"/>
        <w:ind w:left="624" w:right="0" w:hanging="525"/>
        <w:jc w:val="left"/>
        <w:rPr/>
      </w:pPr>
      <w:bookmarkStart w:colFirst="0" w:colLast="0" w:name="_heading=h.1fob9te" w:id="2"/>
      <w:bookmarkEnd w:id="2"/>
      <w:r w:rsidDel="00000000" w:rsidR="00000000" w:rsidRPr="00000000">
        <w:rPr>
          <w:rtl w:val="0"/>
        </w:rPr>
        <w:t xml:space="preserve">Actions to address risks and responsibilities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2"/>
        <w:numPr>
          <w:ilvl w:val="2"/>
          <w:numId w:val="1"/>
        </w:numPr>
        <w:tabs>
          <w:tab w:val="left" w:pos="825"/>
        </w:tabs>
        <w:spacing w:after="0" w:before="1" w:line="240" w:lineRule="auto"/>
        <w:ind w:left="824" w:right="0" w:hanging="725"/>
        <w:jc w:val="left"/>
        <w:rPr/>
      </w:pPr>
      <w:bookmarkStart w:colFirst="0" w:colLast="0" w:name="_heading=h.3znysh7" w:id="3"/>
      <w:bookmarkEnd w:id="3"/>
      <w:r w:rsidDel="00000000" w:rsidR="00000000" w:rsidRPr="00000000">
        <w:rPr>
          <w:rtl w:val="0"/>
        </w:rPr>
        <w:t xml:space="preserve">General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6.99999999999994" w:lineRule="auto"/>
        <w:ind w:left="100" w:right="12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{organization}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use Risk Management to define the organization’s risk</w:t>
      </w:r>
      <w:r w:rsidDel="00000000" w:rsidR="00000000" w:rsidRPr="00000000">
        <w:rPr>
          <w:sz w:val="24"/>
          <w:szCs w:val="24"/>
          <w:rtl w:val="0"/>
        </w:rPr>
        <w:t xml:space="preserv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which risks it is willing to accept. The goal of Risk Management is to identify, understand, and prevent or reduce risks.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2"/>
        <w:numPr>
          <w:ilvl w:val="2"/>
          <w:numId w:val="1"/>
        </w:numPr>
        <w:tabs>
          <w:tab w:val="left" w:pos="825"/>
        </w:tabs>
        <w:spacing w:after="0" w:before="1" w:line="240" w:lineRule="auto"/>
        <w:ind w:left="824" w:right="0" w:hanging="725"/>
        <w:jc w:val="left"/>
        <w:rPr/>
      </w:pPr>
      <w:bookmarkStart w:colFirst="0" w:colLast="0" w:name="_heading=h.2et92p0" w:id="4"/>
      <w:bookmarkEnd w:id="4"/>
      <w:r w:rsidDel="00000000" w:rsidR="00000000" w:rsidRPr="00000000">
        <w:rPr>
          <w:rtl w:val="0"/>
        </w:rPr>
        <w:t xml:space="preserve">Risk Assessment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level of residual risk and acceptable risk shall be reviewed taking into account:</w:t>
      </w:r>
    </w:p>
    <w:p w:rsidR="00000000" w:rsidDel="00000000" w:rsidP="00000000" w:rsidRDefault="00000000" w:rsidRPr="00000000" w14:paraId="00000035">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pos="820"/>
        </w:tabs>
        <w:spacing w:after="0" w:before="129" w:line="240" w:lineRule="auto"/>
        <w:ind w:left="8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organization;</w:t>
      </w:r>
    </w:p>
    <w:p w:rsidR="00000000" w:rsidDel="00000000" w:rsidP="00000000" w:rsidRDefault="00000000" w:rsidRPr="00000000" w14:paraId="00000036">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pos="820"/>
        </w:tabs>
        <w:spacing w:after="0" w:before="9" w:line="240" w:lineRule="auto"/>
        <w:ind w:left="8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Technology employed;</w:t>
      </w:r>
    </w:p>
    <w:p w:rsidR="00000000" w:rsidDel="00000000" w:rsidP="00000000" w:rsidRDefault="00000000" w:rsidRPr="00000000" w14:paraId="00000037">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pos="820"/>
        </w:tabs>
        <w:spacing w:after="0" w:before="9" w:line="240" w:lineRule="auto"/>
        <w:ind w:left="8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objectives and processes;</w:t>
      </w:r>
    </w:p>
    <w:p w:rsidR="00000000" w:rsidDel="00000000" w:rsidP="00000000" w:rsidRDefault="00000000" w:rsidRPr="00000000" w14:paraId="00000038">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pos="820"/>
        </w:tabs>
        <w:spacing w:after="0" w:before="9" w:line="240" w:lineRule="auto"/>
        <w:ind w:left="8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Identified threats; and</w:t>
      </w:r>
    </w:p>
    <w:p w:rsidR="00000000" w:rsidDel="00000000" w:rsidP="00000000" w:rsidRDefault="00000000" w:rsidRPr="00000000" w14:paraId="00000039">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pos="820"/>
        </w:tabs>
        <w:spacing w:after="0" w:before="9" w:line="246.99999999999994" w:lineRule="auto"/>
        <w:ind w:left="820" w:right="57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560" w:top="1360" w:left="1340" w:right="1300" w:header="280" w:footer="1295"/>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External events, such as changes to the legal or regulatory environment, fraud, and/or changes in social climate.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6.99999999999994" w:lineRule="auto"/>
        <w:ind w:left="1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approach to risk assessment, mitigation, and treatment shall be focused on Application or Service)</w:t>
      </w:r>
    </w:p>
    <w:p w:rsidR="00000000" w:rsidDel="00000000" w:rsidP="00000000" w:rsidRDefault="00000000" w:rsidRPr="00000000" w14:paraId="0000003C">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pos="819"/>
          <w:tab w:val="left" w:pos="820"/>
        </w:tabs>
        <w:spacing w:after="0" w:before="7" w:line="240" w:lineRule="auto"/>
        <w:ind w:left="8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the actual and acceptable risk</w:t>
      </w:r>
    </w:p>
    <w:p w:rsidR="00000000" w:rsidDel="00000000" w:rsidP="00000000" w:rsidRDefault="00000000" w:rsidRPr="00000000" w14:paraId="0000003D">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pos="819"/>
          <w:tab w:val="left" w:pos="820"/>
        </w:tabs>
        <w:spacing w:after="0" w:before="68" w:line="240" w:lineRule="auto"/>
        <w:ind w:left="8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Standardize risk assessment process via:</w:t>
      </w:r>
    </w:p>
    <w:p w:rsidR="00000000" w:rsidDel="00000000" w:rsidP="00000000" w:rsidRDefault="00000000" w:rsidRPr="00000000" w14:paraId="0000003E">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pos="1539"/>
          <w:tab w:val="left" w:pos="1540"/>
        </w:tabs>
        <w:spacing w:after="0" w:before="8" w:line="240" w:lineRule="auto"/>
        <w:ind w:left="15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 and Quantify those risks</w:t>
      </w:r>
    </w:p>
    <w:p w:rsidR="00000000" w:rsidDel="00000000" w:rsidP="00000000" w:rsidRDefault="00000000" w:rsidRPr="00000000" w14:paraId="0000003F">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pos="1539"/>
          <w:tab w:val="left" w:pos="1540"/>
        </w:tabs>
        <w:spacing w:after="0" w:before="8" w:line="240" w:lineRule="auto"/>
        <w:ind w:left="15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 and Quantify the business impact posed by the risk</w:t>
      </w:r>
    </w:p>
    <w:p w:rsidR="00000000" w:rsidDel="00000000" w:rsidP="00000000" w:rsidRDefault="00000000" w:rsidRPr="00000000" w14:paraId="00000040">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pos="819"/>
          <w:tab w:val="left" w:pos="820"/>
        </w:tabs>
        <w:spacing w:after="0" w:before="8" w:line="240" w:lineRule="auto"/>
        <w:ind w:left="8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the Risk</w:t>
      </w:r>
    </w:p>
    <w:p w:rsidR="00000000" w:rsidDel="00000000" w:rsidP="00000000" w:rsidRDefault="00000000" w:rsidRPr="00000000" w14:paraId="00000041">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pos="1539"/>
          <w:tab w:val="left" w:pos="1540"/>
        </w:tabs>
        <w:spacing w:after="0" w:before="8" w:line="240" w:lineRule="auto"/>
        <w:ind w:left="15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Capture those risks in the Risk</w:t>
      </w:r>
      <w:r w:rsidDel="00000000" w:rsidR="00000000" w:rsidRPr="00000000">
        <w:rPr>
          <w:sz w:val="24"/>
          <w:szCs w:val="24"/>
          <w:rtl w:val="0"/>
        </w:rPr>
        <w:t xml:space="preserve"> Tool</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pos="1539"/>
          <w:tab w:val="left" w:pos="1540"/>
        </w:tabs>
        <w:spacing w:after="0" w:before="8" w:line="246.99999999999994" w:lineRule="auto"/>
        <w:ind w:left="1540" w:right="25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Assign risk owner</w:t>
      </w:r>
    </w:p>
    <w:p w:rsidR="00000000" w:rsidDel="00000000" w:rsidP="00000000" w:rsidRDefault="00000000" w:rsidRPr="00000000" w14:paraId="00000043">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pos="819"/>
          <w:tab w:val="left" w:pos="820"/>
        </w:tabs>
        <w:spacing w:after="0" w:before="2" w:line="246.99999999999994" w:lineRule="auto"/>
        <w:ind w:left="820" w:right="42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Assesses risks via a risk assessment matrix (including Confidentiality, Availability, and Integrity) to</w:t>
      </w:r>
    </w:p>
    <w:p w:rsidR="00000000" w:rsidDel="00000000" w:rsidP="00000000" w:rsidRDefault="00000000" w:rsidRPr="00000000" w14:paraId="00000044">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pos="1539"/>
          <w:tab w:val="left" w:pos="1540"/>
        </w:tabs>
        <w:spacing w:after="0" w:before="1" w:line="240" w:lineRule="auto"/>
        <w:ind w:left="15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 potential impact amount</w:t>
      </w:r>
    </w:p>
    <w:p w:rsidR="00000000" w:rsidDel="00000000" w:rsidP="00000000" w:rsidRDefault="00000000" w:rsidRPr="00000000" w14:paraId="00000045">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pos="1539"/>
          <w:tab w:val="left" w:pos="1540"/>
        </w:tabs>
        <w:spacing w:after="0" w:before="8" w:line="240" w:lineRule="auto"/>
        <w:ind w:left="15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 the likelihood for the occurrence</w:t>
      </w:r>
    </w:p>
    <w:p w:rsidR="00000000" w:rsidDel="00000000" w:rsidP="00000000" w:rsidRDefault="00000000" w:rsidRPr="00000000" w14:paraId="00000046">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pos="1539"/>
          <w:tab w:val="left" w:pos="1540"/>
        </w:tabs>
        <w:spacing w:after="0" w:before="8" w:line="240" w:lineRule="auto"/>
        <w:ind w:left="15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 the calculation of risk level</w:t>
      </w:r>
    </w:p>
    <w:p w:rsidR="00000000" w:rsidDel="00000000" w:rsidP="00000000" w:rsidRDefault="00000000" w:rsidRPr="00000000" w14:paraId="00000047">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pos="1539"/>
          <w:tab w:val="left" w:pos="1540"/>
        </w:tabs>
        <w:spacing w:after="0" w:before="8" w:line="240" w:lineRule="auto"/>
        <w:ind w:left="15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capture risks in the Risk Register.</w:t>
      </w:r>
    </w:p>
    <w:p w:rsidR="00000000" w:rsidDel="00000000" w:rsidP="00000000" w:rsidRDefault="00000000" w:rsidRPr="00000000" w14:paraId="00000048">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pos="819"/>
          <w:tab w:val="left" w:pos="820"/>
        </w:tabs>
        <w:spacing w:after="0" w:before="8" w:line="240" w:lineRule="auto"/>
        <w:ind w:left="8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 a Risk Treatment plan, as required, for the risks. based on</w:t>
      </w:r>
    </w:p>
    <w:p w:rsidR="00000000" w:rsidDel="00000000" w:rsidP="00000000" w:rsidRDefault="00000000" w:rsidRPr="00000000" w14:paraId="00000049">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pos="1539"/>
          <w:tab w:val="left" w:pos="1540"/>
        </w:tabs>
        <w:spacing w:after="0" w:before="7" w:line="246.99999999999994" w:lineRule="auto"/>
        <w:ind w:left="1540" w:right="11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of risk assessment outcome against risk criteria</w:t>
      </w:r>
    </w:p>
    <w:p w:rsidR="00000000" w:rsidDel="00000000" w:rsidP="00000000" w:rsidRDefault="00000000" w:rsidRPr="00000000" w14:paraId="0000004A">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pos="1539"/>
          <w:tab w:val="left" w:pos="1540"/>
        </w:tabs>
        <w:spacing w:after="0" w:before="1" w:line="240" w:lineRule="auto"/>
        <w:ind w:left="15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Prioritize the analysed risks for risk treatment</w:t>
      </w:r>
    </w:p>
    <w:p w:rsidR="00000000" w:rsidDel="00000000" w:rsidP="00000000" w:rsidRDefault="00000000" w:rsidRPr="00000000" w14:paraId="0000004B">
      <w:pPr>
        <w:pStyle w:val="Heading2"/>
        <w:numPr>
          <w:ilvl w:val="2"/>
          <w:numId w:val="1"/>
        </w:numPr>
        <w:tabs>
          <w:tab w:val="left" w:pos="825"/>
        </w:tabs>
        <w:spacing w:after="0" w:before="211" w:line="240" w:lineRule="auto"/>
        <w:ind w:left="824" w:right="0" w:hanging="725"/>
        <w:jc w:val="left"/>
        <w:rPr/>
      </w:pPr>
      <w:bookmarkStart w:colFirst="0" w:colLast="0" w:name="_heading=h.tyjcwt" w:id="5"/>
      <w:bookmarkEnd w:id="5"/>
      <w:r w:rsidDel="00000000" w:rsidR="00000000" w:rsidRPr="00000000">
        <w:rPr>
          <w:rtl w:val="0"/>
        </w:rPr>
        <w:t xml:space="preserve">Information security risk treatment</w:t>
      </w:r>
    </w:p>
    <w:p w:rsidR="00000000" w:rsidDel="00000000" w:rsidP="00000000" w:rsidRDefault="00000000" w:rsidRPr="00000000" w14:paraId="000000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820"/>
        </w:tabs>
        <w:spacing w:after="0" w:before="69" w:line="246.99999999999994" w:lineRule="auto"/>
        <w:ind w:left="820" w:right="24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on the result of risk assessment, an appropriate information security risk treatment plan is selected and documented in the ISMS. Risk owners will review and revise the risk management plan on an annual basis</w:t>
      </w:r>
    </w:p>
    <w:p w:rsidR="00000000" w:rsidDel="00000000" w:rsidP="00000000" w:rsidRDefault="00000000" w:rsidRPr="00000000" w14:paraId="000000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820"/>
        </w:tabs>
        <w:spacing w:after="0" w:before="2" w:line="246.99999999999994" w:lineRule="auto"/>
        <w:ind w:left="820" w:right="146"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Statement of Applicability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reviewed and revised annually or when there is a major change occurrence.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3"/>
        <w:numPr>
          <w:ilvl w:val="1"/>
          <w:numId w:val="1"/>
        </w:numPr>
        <w:tabs>
          <w:tab w:val="left" w:pos="634"/>
        </w:tabs>
        <w:spacing w:after="0" w:before="0" w:line="240" w:lineRule="auto"/>
        <w:ind w:left="633" w:right="0" w:hanging="534"/>
        <w:jc w:val="left"/>
        <w:rPr/>
      </w:pPr>
      <w:bookmarkStart w:colFirst="0" w:colLast="0" w:name="_heading=h.3dy6vkm" w:id="6"/>
      <w:bookmarkEnd w:id="6"/>
      <w:r w:rsidDel="00000000" w:rsidR="00000000" w:rsidRPr="00000000">
        <w:rPr>
          <w:rtl w:val="0"/>
        </w:rPr>
        <w:t xml:space="preserve">Information Security Objectives and planning to achieve them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819"/>
          <w:tab w:val="left" w:pos="820"/>
        </w:tabs>
        <w:spacing w:after="0" w:before="128" w:line="246.99999999999994" w:lineRule="auto"/>
        <w:ind w:left="820" w:right="23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 end-customer by sustaining mutually agreed-to Recovery Time Objective and Recovery Point Objective values</w:t>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819"/>
          <w:tab w:val="left" w:pos="820"/>
        </w:tabs>
        <w:spacing w:after="0" w:before="61" w:line="246.99999999999994" w:lineRule="auto"/>
        <w:ind w:left="820" w:right="16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Capture history of actual incidents and disaster recovery exercises into the ISMS tool for reviews and communication to relevant parties. Policies are to be updated as appropriate</w:t>
      </w:r>
    </w:p>
    <w:p w:rsidR="00000000" w:rsidDel="00000000" w:rsidP="00000000" w:rsidRDefault="00000000" w:rsidRPr="00000000" w14:paraId="000000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819"/>
          <w:tab w:val="left" w:pos="820"/>
        </w:tabs>
        <w:spacing w:after="0" w:before="61" w:line="246.99999999999994" w:lineRule="auto"/>
        <w:ind w:left="820" w:right="42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an efficient, cost effective, operational environment that allows for fast paced application development and deployment</w:t>
      </w:r>
    </w:p>
    <w:p w:rsidR="00000000" w:rsidDel="00000000" w:rsidP="00000000" w:rsidRDefault="00000000" w:rsidRPr="00000000" w14:paraId="000000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819"/>
          <w:tab w:val="left" w:pos="820"/>
        </w:tabs>
        <w:spacing w:after="0" w:before="64" w:line="246.99999999999994" w:lineRule="auto"/>
        <w:ind w:left="820" w:right="15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 a secure, highly available, robust infrastructure, and operational environment through timely server patch updates on critical vulnerability</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 critical finding has been detected and remediated. Records of infrastructure patch updates should be recorded into the ISMS tool for reviews and communicated to relevant parties. </w:t>
      </w:r>
    </w:p>
    <w:p w:rsidR="00000000" w:rsidDel="00000000" w:rsidP="00000000" w:rsidRDefault="00000000" w:rsidRPr="00000000" w14:paraId="000000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819"/>
          <w:tab w:val="left" w:pos="820"/>
        </w:tabs>
        <w:spacing w:after="0" w:before="62" w:line="246.99999999999994" w:lineRule="auto"/>
        <w:ind w:left="820" w:right="74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Promote adoption of ISO 27001 standards for SaaS operations through security awareness training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20"/>
        </w:tabs>
        <w:spacing w:after="0" w:before="2" w:line="246.99999999999994" w:lineRule="auto"/>
        <w:ind w:left="820" w:right="112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560" w:top="1360" w:left="1340" w:right="1300" w:header="280" w:footer="1295"/>
        </w:sect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19"/>
          <w:tab w:val="left" w:pos="8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1560" w:top="1360" w:left="1340" w:right="1300" w:header="280" w:footer="129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6"/>
      <w:numFmt w:val="decimalZero"/>
      <w:lvlText w:val="%1"/>
      <w:lvlJc w:val="left"/>
      <w:pPr>
        <w:ind w:left="624" w:hanging="525"/>
      </w:pPr>
      <w:rPr/>
    </w:lvl>
    <w:lvl w:ilvl="1">
      <w:start w:val="1"/>
      <w:numFmt w:val="decimal"/>
      <w:lvlText w:val="%1.%2"/>
      <w:lvlJc w:val="left"/>
      <w:pPr>
        <w:ind w:left="624" w:hanging="525"/>
      </w:pPr>
      <w:rPr>
        <w:rFonts w:ascii="Arial" w:cs="Arial" w:eastAsia="Arial" w:hAnsi="Arial"/>
        <w:b w:val="1"/>
        <w:i w:val="0"/>
        <w:sz w:val="24"/>
        <w:szCs w:val="24"/>
      </w:rPr>
    </w:lvl>
    <w:lvl w:ilvl="2">
      <w:start w:val="1"/>
      <w:numFmt w:val="decimal"/>
      <w:lvlText w:val="%1.%2.%3"/>
      <w:lvlJc w:val="left"/>
      <w:pPr>
        <w:ind w:left="824" w:hanging="725"/>
      </w:pPr>
      <w:rPr>
        <w:rFonts w:ascii="Arial" w:cs="Arial" w:eastAsia="Arial" w:hAnsi="Arial"/>
        <w:b w:val="1"/>
        <w:i w:val="0"/>
        <w:sz w:val="26"/>
        <w:szCs w:val="26"/>
      </w:rPr>
    </w:lvl>
    <w:lvl w:ilvl="3">
      <w:start w:val="1"/>
      <w:numFmt w:val="decimal"/>
      <w:lvlText w:val="%4."/>
      <w:lvlJc w:val="left"/>
      <w:pPr>
        <w:ind w:left="820" w:hanging="360"/>
      </w:pPr>
      <w:rPr>
        <w:rFonts w:ascii="Times New Roman" w:cs="Times New Roman" w:eastAsia="Times New Roman" w:hAnsi="Times New Roman"/>
        <w:b w:val="0"/>
        <w:i w:val="0"/>
        <w:sz w:val="24"/>
        <w:szCs w:val="24"/>
      </w:rPr>
    </w:lvl>
    <w:lvl w:ilvl="4">
      <w:start w:val="0"/>
      <w:numFmt w:val="bullet"/>
      <w:lvlText w:val="●"/>
      <w:lvlJc w:val="left"/>
      <w:pPr>
        <w:ind w:left="820" w:hanging="360"/>
      </w:pPr>
      <w:rPr>
        <w:rFonts w:ascii="Arial" w:cs="Arial" w:eastAsia="Arial" w:hAnsi="Arial"/>
        <w:b w:val="0"/>
        <w:i w:val="0"/>
        <w:sz w:val="24"/>
        <w:szCs w:val="24"/>
      </w:rPr>
    </w:lvl>
    <w:lvl w:ilvl="5">
      <w:start w:val="0"/>
      <w:numFmt w:val="bullet"/>
      <w:lvlText w:val="○"/>
      <w:lvlJc w:val="left"/>
      <w:pPr>
        <w:ind w:left="1540" w:hanging="360"/>
      </w:pPr>
      <w:rPr>
        <w:rFonts w:ascii="Arial" w:cs="Arial" w:eastAsia="Arial" w:hAnsi="Arial"/>
        <w:b w:val="0"/>
        <w:i w:val="0"/>
        <w:sz w:val="24"/>
        <w:szCs w:val="24"/>
      </w:rPr>
    </w:lvl>
    <w:lvl w:ilvl="6">
      <w:start w:val="0"/>
      <w:numFmt w:val="bullet"/>
      <w:lvlText w:val="•"/>
      <w:lvlJc w:val="left"/>
      <w:pPr>
        <w:ind w:left="5570" w:hanging="360"/>
      </w:pPr>
      <w:rPr/>
    </w:lvl>
    <w:lvl w:ilvl="7">
      <w:start w:val="0"/>
      <w:numFmt w:val="bullet"/>
      <w:lvlText w:val="•"/>
      <w:lvlJc w:val="left"/>
      <w:pPr>
        <w:ind w:left="6577" w:hanging="360"/>
      </w:pPr>
      <w:rPr/>
    </w:lvl>
    <w:lvl w:ilvl="8">
      <w:start w:val="0"/>
      <w:numFmt w:val="bullet"/>
      <w:lvlText w:val="•"/>
      <w:lvlJc w:val="left"/>
      <w:pPr>
        <w:ind w:left="7585" w:hanging="360"/>
      </w:pPr>
      <w:rPr/>
    </w:lvl>
  </w:abstractNum>
  <w:abstractNum w:abstractNumId="2">
    <w:lvl w:ilvl="0">
      <w:start w:val="6"/>
      <w:numFmt w:val="decimalZero"/>
      <w:lvlText w:val="%1"/>
      <w:lvlJc w:val="left"/>
      <w:pPr>
        <w:ind w:left="926" w:hanging="467.0000000000001"/>
      </w:pPr>
      <w:rPr/>
    </w:lvl>
    <w:lvl w:ilvl="1">
      <w:start w:val="1"/>
      <w:numFmt w:val="decimal"/>
      <w:lvlText w:val="%1.%2"/>
      <w:lvlJc w:val="left"/>
      <w:pPr>
        <w:ind w:left="926" w:hanging="467.0000000000001"/>
      </w:pPr>
      <w:rPr>
        <w:rFonts w:ascii="Times New Roman" w:cs="Times New Roman" w:eastAsia="Times New Roman" w:hAnsi="Times New Roman"/>
        <w:b w:val="0"/>
        <w:i w:val="0"/>
        <w:sz w:val="24"/>
        <w:szCs w:val="24"/>
      </w:rPr>
    </w:lvl>
    <w:lvl w:ilvl="2">
      <w:start w:val="1"/>
      <w:numFmt w:val="decimal"/>
      <w:lvlText w:val="%1.%2.%3"/>
      <w:lvlJc w:val="left"/>
      <w:pPr>
        <w:ind w:left="1480" w:hanging="660"/>
      </w:pPr>
      <w:rPr>
        <w:rFonts w:ascii="Times New Roman" w:cs="Times New Roman" w:eastAsia="Times New Roman" w:hAnsi="Times New Roman"/>
        <w:b w:val="0"/>
        <w:i w:val="0"/>
        <w:sz w:val="24"/>
        <w:szCs w:val="24"/>
      </w:rPr>
    </w:lvl>
    <w:lvl w:ilvl="3">
      <w:start w:val="0"/>
      <w:numFmt w:val="bullet"/>
      <w:lvlText w:val="•"/>
      <w:lvlJc w:val="left"/>
      <w:pPr>
        <w:ind w:left="3284" w:hanging="660"/>
      </w:pPr>
      <w:rPr/>
    </w:lvl>
    <w:lvl w:ilvl="4">
      <w:start w:val="0"/>
      <w:numFmt w:val="bullet"/>
      <w:lvlText w:val="•"/>
      <w:lvlJc w:val="left"/>
      <w:pPr>
        <w:ind w:left="4186" w:hanging="660"/>
      </w:pPr>
      <w:rPr/>
    </w:lvl>
    <w:lvl w:ilvl="5">
      <w:start w:val="0"/>
      <w:numFmt w:val="bullet"/>
      <w:lvlText w:val="•"/>
      <w:lvlJc w:val="left"/>
      <w:pPr>
        <w:ind w:left="5088" w:hanging="660"/>
      </w:pPr>
      <w:rPr/>
    </w:lvl>
    <w:lvl w:ilvl="6">
      <w:start w:val="0"/>
      <w:numFmt w:val="bullet"/>
      <w:lvlText w:val="•"/>
      <w:lvlJc w:val="left"/>
      <w:pPr>
        <w:ind w:left="5991" w:hanging="660"/>
      </w:pPr>
      <w:rPr/>
    </w:lvl>
    <w:lvl w:ilvl="7">
      <w:start w:val="0"/>
      <w:numFmt w:val="bullet"/>
      <w:lvlText w:val="•"/>
      <w:lvlJc w:val="left"/>
      <w:pPr>
        <w:ind w:left="6893" w:hanging="660"/>
      </w:pPr>
      <w:rPr/>
    </w:lvl>
    <w:lvl w:ilvl="8">
      <w:start w:val="0"/>
      <w:numFmt w:val="bullet"/>
      <w:lvlText w:val="•"/>
      <w:lvlJc w:val="left"/>
      <w:pPr>
        <w:ind w:left="7795" w:hanging="660"/>
      </w:pPr>
      <w:rPr/>
    </w:lvl>
  </w:abstractNum>
  <w:abstractNum w:abstractNumId="3">
    <w:lvl w:ilvl="0">
      <w:start w:val="0"/>
      <w:numFmt w:val="bullet"/>
      <w:lvlText w:val="●"/>
      <w:lvlJc w:val="left"/>
      <w:pPr>
        <w:ind w:left="820" w:hanging="360"/>
      </w:pPr>
      <w:rPr>
        <w:rFonts w:ascii="Arial" w:cs="Arial" w:eastAsia="Arial" w:hAnsi="Arial"/>
        <w:b w:val="0"/>
        <w:i w:val="0"/>
        <w:sz w:val="24"/>
        <w:szCs w:val="24"/>
      </w:rPr>
    </w:lvl>
    <w:lvl w:ilvl="1">
      <w:start w:val="0"/>
      <w:numFmt w:val="bullet"/>
      <w:lvlText w:val="•"/>
      <w:lvlJc w:val="left"/>
      <w:pPr>
        <w:ind w:left="1698" w:hanging="360"/>
      </w:pPr>
      <w:rPr/>
    </w:lvl>
    <w:lvl w:ilvl="2">
      <w:start w:val="0"/>
      <w:numFmt w:val="bullet"/>
      <w:lvlText w:val="•"/>
      <w:lvlJc w:val="left"/>
      <w:pPr>
        <w:ind w:left="2576" w:hanging="360"/>
      </w:pPr>
      <w:rPr/>
    </w:lvl>
    <w:lvl w:ilvl="3">
      <w:start w:val="0"/>
      <w:numFmt w:val="bullet"/>
      <w:lvlText w:val="•"/>
      <w:lvlJc w:val="left"/>
      <w:pPr>
        <w:ind w:left="3454" w:hanging="360"/>
      </w:pPr>
      <w:rPr/>
    </w:lvl>
    <w:lvl w:ilvl="4">
      <w:start w:val="0"/>
      <w:numFmt w:val="bullet"/>
      <w:lvlText w:val="•"/>
      <w:lvlJc w:val="left"/>
      <w:pPr>
        <w:ind w:left="4332" w:hanging="360"/>
      </w:pPr>
      <w:rPr/>
    </w:lvl>
    <w:lvl w:ilvl="5">
      <w:start w:val="0"/>
      <w:numFmt w:val="bullet"/>
      <w:lvlText w:val="•"/>
      <w:lvlJc w:val="left"/>
      <w:pPr>
        <w:ind w:left="5210" w:hanging="360"/>
      </w:pPr>
      <w:rPr/>
    </w:lvl>
    <w:lvl w:ilvl="6">
      <w:start w:val="0"/>
      <w:numFmt w:val="bullet"/>
      <w:lvlText w:val="•"/>
      <w:lvlJc w:val="left"/>
      <w:pPr>
        <w:ind w:left="6088" w:hanging="360"/>
      </w:pPr>
      <w:rPr/>
    </w:lvl>
    <w:lvl w:ilvl="7">
      <w:start w:val="0"/>
      <w:numFmt w:val="bullet"/>
      <w:lvlText w:val="•"/>
      <w:lvlJc w:val="left"/>
      <w:pPr>
        <w:ind w:left="6966" w:hanging="360"/>
      </w:pPr>
      <w:rPr/>
    </w:lvl>
    <w:lvl w:ilvl="8">
      <w:start w:val="0"/>
      <w:numFmt w:val="bullet"/>
      <w:lvlText w:val="•"/>
      <w:lvlJc w:val="left"/>
      <w:pPr>
        <w:ind w:left="7844" w:hanging="360"/>
      </w:pPr>
      <w:rPr/>
    </w:lvl>
  </w:abstractNum>
  <w:abstractNum w:abstractNumId="4">
    <w:lvl w:ilvl="0">
      <w:start w:val="1"/>
      <w:numFmt w:val="upperLetter"/>
      <w:lvlText w:val="%1."/>
      <w:lvlJc w:val="left"/>
      <w:pPr>
        <w:ind w:left="820" w:hanging="360"/>
      </w:pPr>
      <w:rPr>
        <w:rFonts w:ascii="Times New Roman" w:cs="Times New Roman" w:eastAsia="Times New Roman" w:hAnsi="Times New Roman"/>
        <w:b w:val="0"/>
        <w:i w:val="0"/>
        <w:sz w:val="24"/>
        <w:szCs w:val="24"/>
      </w:rPr>
    </w:lvl>
    <w:lvl w:ilvl="1">
      <w:start w:val="0"/>
      <w:numFmt w:val="bullet"/>
      <w:lvlText w:val="•"/>
      <w:lvlJc w:val="left"/>
      <w:pPr>
        <w:ind w:left="1698" w:hanging="360"/>
      </w:pPr>
      <w:rPr/>
    </w:lvl>
    <w:lvl w:ilvl="2">
      <w:start w:val="0"/>
      <w:numFmt w:val="bullet"/>
      <w:lvlText w:val="•"/>
      <w:lvlJc w:val="left"/>
      <w:pPr>
        <w:ind w:left="2576" w:hanging="360"/>
      </w:pPr>
      <w:rPr/>
    </w:lvl>
    <w:lvl w:ilvl="3">
      <w:start w:val="0"/>
      <w:numFmt w:val="bullet"/>
      <w:lvlText w:val="•"/>
      <w:lvlJc w:val="left"/>
      <w:pPr>
        <w:ind w:left="3454" w:hanging="360"/>
      </w:pPr>
      <w:rPr/>
    </w:lvl>
    <w:lvl w:ilvl="4">
      <w:start w:val="0"/>
      <w:numFmt w:val="bullet"/>
      <w:lvlText w:val="•"/>
      <w:lvlJc w:val="left"/>
      <w:pPr>
        <w:ind w:left="4332" w:hanging="360"/>
      </w:pPr>
      <w:rPr/>
    </w:lvl>
    <w:lvl w:ilvl="5">
      <w:start w:val="0"/>
      <w:numFmt w:val="bullet"/>
      <w:lvlText w:val="•"/>
      <w:lvlJc w:val="left"/>
      <w:pPr>
        <w:ind w:left="5210" w:hanging="360"/>
      </w:pPr>
      <w:rPr/>
    </w:lvl>
    <w:lvl w:ilvl="6">
      <w:start w:val="0"/>
      <w:numFmt w:val="bullet"/>
      <w:lvlText w:val="•"/>
      <w:lvlJc w:val="left"/>
      <w:pPr>
        <w:ind w:left="6088" w:hanging="360"/>
      </w:pPr>
      <w:rPr/>
    </w:lvl>
    <w:lvl w:ilvl="7">
      <w:start w:val="0"/>
      <w:numFmt w:val="bullet"/>
      <w:lvlText w:val="•"/>
      <w:lvlJc w:val="left"/>
      <w:pPr>
        <w:ind w:left="6966" w:hanging="360"/>
      </w:pPr>
      <w:rPr/>
    </w:lvl>
    <w:lvl w:ilvl="8">
      <w:start w:val="0"/>
      <w:numFmt w:val="bullet"/>
      <w:lvlText w:val="•"/>
      <w:lvlJc w:val="left"/>
      <w:pPr>
        <w:ind w:left="7844"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3605" w:right="3642"/>
      <w:jc w:val="center"/>
    </w:pPr>
    <w:rPr>
      <w:rFonts w:ascii="Arial" w:cs="Arial" w:eastAsia="Arial" w:hAnsi="Arial"/>
      <w:b w:val="1"/>
      <w:sz w:val="28"/>
      <w:szCs w:val="28"/>
    </w:rPr>
  </w:style>
  <w:style w:type="paragraph" w:styleId="Heading2">
    <w:name w:val="heading 2"/>
    <w:basedOn w:val="Normal"/>
    <w:next w:val="Normal"/>
    <w:pPr>
      <w:spacing w:before="1" w:lineRule="auto"/>
      <w:ind w:left="824" w:hanging="725"/>
    </w:pPr>
    <w:rPr>
      <w:rFonts w:ascii="Arial" w:cs="Arial" w:eastAsia="Arial" w:hAnsi="Arial"/>
      <w:b w:val="1"/>
      <w:sz w:val="26"/>
      <w:szCs w:val="26"/>
    </w:rPr>
  </w:style>
  <w:style w:type="paragraph" w:styleId="Heading3">
    <w:name w:val="heading 3"/>
    <w:basedOn w:val="Normal"/>
    <w:next w:val="Normal"/>
    <w:pPr>
      <w:ind w:left="100" w:hanging="534"/>
    </w:pPr>
    <w:rPr>
      <w:rFonts w:ascii="Arial" w:cs="Arial" w:eastAsia="Arial" w:hAnsi="Arial"/>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en-US"/>
    </w:rPr>
  </w:style>
  <w:style w:type="paragraph" w:styleId="TOC1">
    <w:name w:val="TOC 1"/>
    <w:basedOn w:val="Normal"/>
    <w:uiPriority w:val="1"/>
    <w:qFormat w:val="1"/>
    <w:pPr>
      <w:spacing w:before="80"/>
      <w:ind w:left="100"/>
    </w:pPr>
    <w:rPr>
      <w:rFonts w:ascii="Times New Roman" w:cs="Times New Roman" w:eastAsia="Times New Roman" w:hAnsi="Times New Roman"/>
      <w:b w:val="1"/>
      <w:bCs w:val="1"/>
      <w:sz w:val="24"/>
      <w:szCs w:val="24"/>
      <w:lang w:bidi="ar-SA" w:eastAsia="en-US" w:val="en-US"/>
    </w:rPr>
  </w:style>
  <w:style w:type="paragraph" w:styleId="TOC2">
    <w:name w:val="TOC 2"/>
    <w:basedOn w:val="Normal"/>
    <w:uiPriority w:val="1"/>
    <w:qFormat w:val="1"/>
    <w:pPr>
      <w:spacing w:before="139"/>
      <w:ind w:left="926" w:hanging="467"/>
    </w:pPr>
    <w:rPr>
      <w:rFonts w:ascii="Times New Roman" w:cs="Times New Roman" w:eastAsia="Times New Roman" w:hAnsi="Times New Roman"/>
      <w:sz w:val="24"/>
      <w:szCs w:val="24"/>
      <w:lang w:bidi="ar-SA" w:eastAsia="en-US" w:val="en-US"/>
    </w:rPr>
  </w:style>
  <w:style w:type="paragraph" w:styleId="TOC3">
    <w:name w:val="TOC 3"/>
    <w:basedOn w:val="Normal"/>
    <w:uiPriority w:val="1"/>
    <w:qFormat w:val="1"/>
    <w:pPr>
      <w:spacing w:before="129"/>
      <w:ind w:left="460" w:hanging="480"/>
    </w:pPr>
    <w:rPr>
      <w:rFonts w:ascii="Times New Roman" w:cs="Times New Roman" w:eastAsia="Times New Roman" w:hAnsi="Times New Roman"/>
      <w:sz w:val="24"/>
      <w:szCs w:val="24"/>
      <w:lang w:bidi="ar-SA" w:eastAsia="en-US" w:val="en-US"/>
    </w:rPr>
  </w:style>
  <w:style w:type="paragraph" w:styleId="TOC4">
    <w:name w:val="TOC 4"/>
    <w:basedOn w:val="Normal"/>
    <w:uiPriority w:val="1"/>
    <w:qFormat w:val="1"/>
    <w:pPr>
      <w:spacing w:before="129"/>
      <w:ind w:left="1480" w:hanging="660"/>
    </w:pPr>
    <w:rPr>
      <w:rFonts w:ascii="Times New Roman" w:cs="Times New Roman" w:eastAsia="Times New Roman" w:hAnsi="Times New Roman"/>
      <w:sz w:val="24"/>
      <w:szCs w:val="24"/>
      <w:lang w:bidi="ar-SA" w:eastAsia="en-US" w:val="en-US"/>
    </w:rPr>
  </w:style>
  <w:style w:type="paragraph" w:styleId="BodyText">
    <w:name w:val="Body Text"/>
    <w:basedOn w:val="Normal"/>
    <w:uiPriority w:val="1"/>
    <w:qFormat w:val="1"/>
    <w:pPr>
      <w:ind w:left="820" w:hanging="360"/>
    </w:pPr>
    <w:rPr>
      <w:rFonts w:ascii="Times New Roman" w:cs="Times New Roman" w:eastAsia="Times New Roman" w:hAnsi="Times New Roman"/>
      <w:sz w:val="24"/>
      <w:szCs w:val="24"/>
      <w:lang w:bidi="ar-SA" w:eastAsia="en-US" w:val="en-US"/>
    </w:rPr>
  </w:style>
  <w:style w:type="paragraph" w:styleId="Heading1">
    <w:name w:val="Heading 1"/>
    <w:basedOn w:val="Normal"/>
    <w:uiPriority w:val="1"/>
    <w:qFormat w:val="1"/>
    <w:pPr>
      <w:ind w:left="3605" w:right="3642"/>
      <w:jc w:val="center"/>
      <w:outlineLvl w:val="1"/>
    </w:pPr>
    <w:rPr>
      <w:rFonts w:ascii="Arial" w:cs="Arial" w:eastAsia="Arial" w:hAnsi="Arial"/>
      <w:b w:val="1"/>
      <w:bCs w:val="1"/>
      <w:sz w:val="28"/>
      <w:szCs w:val="28"/>
      <w:lang w:bidi="ar-SA" w:eastAsia="en-US" w:val="en-US"/>
    </w:rPr>
  </w:style>
  <w:style w:type="paragraph" w:styleId="Heading2">
    <w:name w:val="Heading 2"/>
    <w:basedOn w:val="Normal"/>
    <w:uiPriority w:val="1"/>
    <w:qFormat w:val="1"/>
    <w:pPr>
      <w:spacing w:before="1"/>
      <w:ind w:left="824" w:hanging="725"/>
      <w:outlineLvl w:val="2"/>
    </w:pPr>
    <w:rPr>
      <w:rFonts w:ascii="Arial" w:cs="Arial" w:eastAsia="Arial" w:hAnsi="Arial"/>
      <w:b w:val="1"/>
      <w:bCs w:val="1"/>
      <w:sz w:val="26"/>
      <w:szCs w:val="26"/>
      <w:lang w:bidi="ar-SA" w:eastAsia="en-US" w:val="en-US"/>
    </w:rPr>
  </w:style>
  <w:style w:type="paragraph" w:styleId="Heading3">
    <w:name w:val="Heading 3"/>
    <w:basedOn w:val="Normal"/>
    <w:uiPriority w:val="1"/>
    <w:qFormat w:val="1"/>
    <w:pPr>
      <w:ind w:left="100" w:hanging="534"/>
      <w:outlineLvl w:val="3"/>
    </w:pPr>
    <w:rPr>
      <w:rFonts w:ascii="Arial" w:cs="Arial" w:eastAsia="Arial" w:hAnsi="Arial"/>
      <w:b w:val="1"/>
      <w:bCs w:val="1"/>
      <w:sz w:val="24"/>
      <w:szCs w:val="24"/>
      <w:lang w:bidi="ar-SA" w:eastAsia="en-US" w:val="en-US"/>
    </w:rPr>
  </w:style>
  <w:style w:type="paragraph" w:styleId="ListParagraph">
    <w:name w:val="List Paragraph"/>
    <w:basedOn w:val="Normal"/>
    <w:uiPriority w:val="1"/>
    <w:qFormat w:val="1"/>
    <w:pPr>
      <w:spacing w:before="9"/>
      <w:ind w:left="820" w:hanging="360"/>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spacing w:before="105"/>
      <w:ind w:left="89"/>
    </w:pPr>
    <w:rPr>
      <w:rFonts w:ascii="Arial" w:cs="Arial" w:eastAsia="Arial" w:hAnsi="Arial"/>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4UrR0kmWWY/snFm5Na989Rg8YQ==">AMUW2mVPSbupr9PDUwnkhjLtGvK7XMnaWa+x5GTOPqTyMuFQ1iF+xar0Us7Oxm3qpLzbL6P7jdtBPKL8o4UauR/QrEVl4DbjM7kXa4mLCHEopDiVt7kTaWb46hoEQMAZ3RoFSv7JQT4uzG9znGsiMrAgNXAMKRZLnpjdjygRzKQ5/Ky0j11Hp45lwNEogUzUpY/BszoK4Vkw2ycWf1uiI29O3LGkHTceMA==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2022-08-16T08:20:51Z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m95 Google Docs Renderer</vt:lpwstr>
  </property>
</Properties>
</file>