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left="3915" w:right="3835" w:firstLine="0"/>
        <w:jc w:val="center"/>
        <w:rPr/>
      </w:pPr>
      <w:bookmarkStart w:colFirst="0" w:colLast="0" w:name="_heading=h.gjdgxs" w:id="0"/>
      <w:bookmarkEnd w:id="0"/>
      <w:r w:rsidDel="00000000" w:rsidR="00000000" w:rsidRPr="00000000">
        <w:rPr>
          <w:rtl w:val="0"/>
        </w:rPr>
        <w:t xml:space="preserve">ISMS 08 </w:t>
      </w:r>
      <w:r w:rsidDel="00000000" w:rsidR="00000000" w:rsidRPr="00000000">
        <w:rPr>
          <w:color w:val="333333"/>
          <w:rtl w:val="0"/>
        </w:rPr>
        <w:t xml:space="preserve">Operation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1"/>
        <w:tblW w:w="9360.0" w:type="dxa"/>
        <w:jc w:val="left"/>
        <w:tblInd w:w="51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69"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08</w:t>
            </w:r>
          </w:p>
        </w:tc>
      </w:tr>
      <w:tr>
        <w:trPr>
          <w:cantSplit w:val="0"/>
          <w:trHeight w:val="49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Operation</w:t>
            </w:r>
          </w:p>
        </w:tc>
      </w:tr>
      <w:tr>
        <w:trPr>
          <w:cantSplit w:val="0"/>
          <w:trHeight w:val="47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tbl>
      <w:tblPr>
        <w:tblStyle w:val="Table2"/>
        <w:tblW w:w="9360.0" w:type="dxa"/>
        <w:jc w:val="left"/>
        <w:tblInd w:w="51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400"/>
        <w:gridCol w:w="1480"/>
        <w:gridCol w:w="1760"/>
        <w:gridCol w:w="1480"/>
        <w:gridCol w:w="3240"/>
        <w:tblGridChange w:id="0">
          <w:tblGrid>
            <w:gridCol w:w="1400"/>
            <w:gridCol w:w="1480"/>
            <w:gridCol w:w="1760"/>
            <w:gridCol w:w="1480"/>
            <w:gridCol w:w="3240"/>
          </w:tblGrid>
        </w:tblGridChange>
      </w:tblGrid>
      <w:tr>
        <w:trPr>
          <w:cantSplit w:val="0"/>
          <w:trHeight w:val="78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89" w:right="107" w:firstLine="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No.</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99" w:right="126" w:firstLine="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Date</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Reviewed by</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99" w:right="126" w:firstLine="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Approved by</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Description</w:t>
            </w:r>
          </w:p>
        </w:tc>
      </w:tr>
      <w:tr>
        <w:trPr>
          <w:cantSplit w:val="0"/>
          <w:trHeight w:val="76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10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A">
      <w:pPr>
        <w:spacing w:after="0" w:line="240" w:lineRule="auto"/>
        <w:ind w:firstLine="0"/>
        <w:jc w:val="left"/>
        <w:rPr>
          <w:rFonts w:ascii="Verdana" w:cs="Verdana" w:eastAsia="Verdana" w:hAnsi="Verdana"/>
          <w:sz w:val="20"/>
          <w:szCs w:val="20"/>
        </w:rPr>
        <w:sectPr>
          <w:pgSz w:h="15840" w:w="12240" w:orient="portrait"/>
          <w:pgMar w:bottom="1560" w:top="1360" w:left="960" w:right="1040" w:header="280" w:footer="1375"/>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39"/>
            </w:tabs>
            <w:spacing w:after="0" w:before="90" w:line="240" w:lineRule="auto"/>
            <w:ind w:left="4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ISMS 08 Operation</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39"/>
            </w:tabs>
            <w:spacing w:after="0" w:before="219" w:line="240" w:lineRule="auto"/>
            <w:ind w:left="4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320"/>
              <w:tab w:val="right" w:pos="9839"/>
            </w:tabs>
            <w:spacing w:after="0" w:before="79" w:line="240" w:lineRule="auto"/>
            <w:ind w:left="1320" w:right="0" w:hanging="480"/>
            <w:jc w:val="left"/>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Operational Planning and Control</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320"/>
              <w:tab w:val="right" w:pos="9839"/>
            </w:tabs>
            <w:spacing w:after="0" w:before="69" w:line="240" w:lineRule="auto"/>
            <w:ind w:left="1320" w:right="0" w:hanging="480"/>
            <w:jc w:val="left"/>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Security Risk Assessment</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320"/>
              <w:tab w:val="right" w:pos="9839"/>
            </w:tabs>
            <w:spacing w:after="0" w:before="69" w:line="240" w:lineRule="auto"/>
            <w:ind w:left="1320" w:right="0" w:hanging="480"/>
            <w:jc w:val="left"/>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Security Risk Treatment</w:t>
              <w:tab/>
              <w:t xml:space="preserve">3</w:t>
            </w:r>
          </w:hyperlink>
          <w:r w:rsidDel="00000000" w:rsidR="00000000" w:rsidRPr="00000000">
            <w:rPr>
              <w:rtl w:val="0"/>
            </w:rPr>
          </w:r>
        </w:p>
        <w:p w:rsidR="00000000" w:rsidDel="00000000" w:rsidP="00000000" w:rsidRDefault="00000000" w:rsidRPr="00000000" w14:paraId="0000002E">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lineRule="auto"/>
        <w:ind w:firstLine="0"/>
        <w:rPr/>
        <w:sectPr>
          <w:type w:val="nextPage"/>
          <w:pgSz w:h="15840" w:w="12240" w:orient="portrait"/>
          <w:pgMar w:bottom="1560" w:top="1360" w:left="960" w:right="1040" w:header="280" w:footer="1375"/>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ind w:firstLine="480"/>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99999999999994" w:lineRule="auto"/>
        <w:ind w:left="930" w:right="3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composed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engineering, operations, support, and Compliance teams that supports the delivery of their services.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930" w:right="3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objective of information security is to ensure the protection of information and business continuity and to minimize the risk of damage by preventing security incidents and reducing their potential impacts.</w:t>
      </w:r>
    </w:p>
    <w:p w:rsidR="00000000" w:rsidDel="00000000" w:rsidP="00000000" w:rsidRDefault="00000000" w:rsidRPr="00000000" w14:paraId="00000034">
      <w:pPr>
        <w:spacing w:before="122" w:line="246.99999999999994" w:lineRule="auto"/>
        <w:ind w:left="930" w:right="399" w:firstLine="0"/>
        <w:jc w:val="left"/>
        <w:rPr>
          <w:sz w:val="24"/>
          <w:szCs w:val="24"/>
        </w:rPr>
      </w:pPr>
      <w:r w:rsidDel="00000000" w:rsidR="00000000" w:rsidRPr="00000000">
        <w:rPr>
          <w:sz w:val="24"/>
          <w:szCs w:val="24"/>
          <w:rtl w:val="0"/>
        </w:rPr>
        <w:t xml:space="preserve">As a general practice, {organization) understand and affirm their support of </w:t>
      </w:r>
      <w:r w:rsidDel="00000000" w:rsidR="00000000" w:rsidRPr="00000000">
        <w:rPr>
          <w:i w:val="1"/>
          <w:sz w:val="24"/>
          <w:szCs w:val="24"/>
          <w:rtl w:val="0"/>
        </w:rPr>
        <w:t xml:space="preserve">ISO/IEC 27002:2013-A.08 Operation standard</w:t>
      </w:r>
      <w:r w:rsidDel="00000000" w:rsidR="00000000" w:rsidRPr="00000000">
        <w:rPr>
          <w:sz w:val="24"/>
          <w:szCs w:val="24"/>
          <w:rtl w:val="0"/>
        </w:rPr>
        <w:t xml:space="preserve">, with the following specific policy guidance.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numPr>
          <w:ilvl w:val="1"/>
          <w:numId w:val="1"/>
        </w:numPr>
        <w:tabs>
          <w:tab w:val="left" w:pos="654"/>
        </w:tabs>
        <w:spacing w:after="0" w:before="0" w:line="240" w:lineRule="auto"/>
        <w:ind w:left="653" w:right="0" w:hanging="534"/>
        <w:jc w:val="left"/>
        <w:rPr/>
      </w:pPr>
      <w:bookmarkStart w:colFirst="0" w:colLast="0" w:name="_heading=h.1fob9te" w:id="2"/>
      <w:bookmarkEnd w:id="2"/>
      <w:r w:rsidDel="00000000" w:rsidR="00000000" w:rsidRPr="00000000">
        <w:rPr>
          <w:rtl w:val="0"/>
        </w:rPr>
        <w:t xml:space="preserve">Operational Planning and Control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480" w:right="4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 establish operational policies, standards, and guidelines through its adoption of the ISMS. These are based on implementation guidance from ISO 27001:2013 best practices. Operational documentation and control is maintained and stored in the </w:t>
      </w:r>
      <w:r w:rsidDel="00000000" w:rsidR="00000000" w:rsidRPr="00000000">
        <w:rPr>
          <w:sz w:val="24"/>
          <w:szCs w:val="24"/>
          <w:rtl w:val="0"/>
        </w:rPr>
        <w:t xml:space="preserve">{organization_’s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repository.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9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define and follow formal Change Control, with supporting procedures, through which changes to the supported systems are documented, tracked, and authorized.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9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treat outsourced resources/processes with the same ISO/IEC 27001:2013 standard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1"/>
          <w:numId w:val="1"/>
        </w:numPr>
        <w:tabs>
          <w:tab w:val="left" w:pos="654"/>
        </w:tabs>
        <w:spacing w:after="0" w:before="0" w:line="240" w:lineRule="auto"/>
        <w:ind w:left="653" w:right="0" w:hanging="534"/>
        <w:jc w:val="left"/>
        <w:rPr/>
      </w:pPr>
      <w:bookmarkStart w:colFirst="0" w:colLast="0" w:name="_heading=h.3znysh7" w:id="3"/>
      <w:bookmarkEnd w:id="3"/>
      <w:r w:rsidDel="00000000" w:rsidR="00000000" w:rsidRPr="00000000">
        <w:rPr>
          <w:rtl w:val="0"/>
        </w:rPr>
        <w:t xml:space="preserve">Information Security Risk Assessment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930" w:right="3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conduct information security risk assessment on an annual basis and when a major change occurs that will impact confidentiality, integrity, and/or availability of client data and apps. Risk assessment will be performed in accordance with the ISMS/ISP Policies stated in </w:t>
      </w: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Policy-ISMS 06</w:t>
      </w:r>
      <w:r w:rsidDel="00000000" w:rsidR="00000000" w:rsidRPr="00000000">
        <w:rPr>
          <w:rFonts w:ascii="Times New Roman" w:cs="Times New Roman" w:eastAsia="Times New Roman" w:hAnsi="Times New Roman"/>
          <w:b w:val="0"/>
          <w:i w:val="0"/>
          <w:smallCaps w:val="0"/>
          <w:strike w:val="0"/>
          <w:color w:val="1154cc"/>
          <w:sz w:val="24"/>
          <w:szCs w:val="24"/>
          <w:u w:val="none"/>
          <w:shd w:fill="auto" w:val="clear"/>
          <w:vertAlign w:val="baseline"/>
          <w:rtl w:val="0"/>
        </w:rPr>
        <w:t xml:space="preserve"> </w:t>
      </w:r>
      <w:r w:rsidDel="00000000" w:rsidR="00000000" w:rsidRPr="00000000">
        <w:rPr>
          <w:sz w:val="24"/>
          <w:szCs w:val="24"/>
          <w:vertAlign w:val="baseline"/>
          <w:rtl w:val="0"/>
        </w:rPr>
        <w:t xml:space="preserve">Planning Sections 06.1.1 - 3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1"/>
          <w:numId w:val="1"/>
        </w:numPr>
        <w:tabs>
          <w:tab w:val="left" w:pos="654"/>
        </w:tabs>
        <w:spacing w:after="0" w:before="0" w:line="240" w:lineRule="auto"/>
        <w:ind w:left="653" w:right="0" w:hanging="534"/>
        <w:jc w:val="left"/>
        <w:rPr/>
      </w:pPr>
      <w:bookmarkStart w:colFirst="0" w:colLast="0" w:name="_heading=h.2et92p0" w:id="4"/>
      <w:bookmarkEnd w:id="4"/>
      <w:r w:rsidDel="00000000" w:rsidR="00000000" w:rsidRPr="00000000">
        <w:rPr>
          <w:rtl w:val="0"/>
        </w:rPr>
        <w:t xml:space="preserve">Information Security Risk Treatment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93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implement information security risk treatment plans and documented treatment plans in ISMS.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930" w:right="14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960" w:right="1040" w:header="280" w:footer="137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Treatments are accomplished via the Policies and supporting controls identified in </w:t>
      </w: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Policy-ISMS 06 Planning Sections 06.1.1 - 3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1560" w:top="1360" w:left="960" w:right="1040" w:header="280" w:footer="137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 w:name="Arial-BoldItalic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8"/>
      <w:numFmt w:val="decimalZero"/>
      <w:lvlText w:val="%1"/>
      <w:lvlJc w:val="left"/>
      <w:pPr>
        <w:ind w:left="653" w:hanging="534"/>
      </w:pPr>
      <w:rPr/>
    </w:lvl>
    <w:lvl w:ilvl="1">
      <w:start w:val="1"/>
      <w:numFmt w:val="decimal"/>
      <w:lvlText w:val="%1.%2"/>
      <w:lvlJc w:val="left"/>
      <w:pPr>
        <w:ind w:left="653" w:hanging="534"/>
      </w:pPr>
      <w:rPr>
        <w:rFonts w:ascii="Arial" w:cs="Arial" w:eastAsia="Arial" w:hAnsi="Arial"/>
        <w:b w:val="1"/>
        <w:i w:val="0"/>
        <w:sz w:val="24"/>
        <w:szCs w:val="24"/>
      </w:rPr>
    </w:lvl>
    <w:lvl w:ilvl="2">
      <w:start w:val="0"/>
      <w:numFmt w:val="bullet"/>
      <w:lvlText w:val="●"/>
      <w:lvlJc w:val="left"/>
      <w:pPr>
        <w:ind w:left="1200" w:hanging="360"/>
      </w:pPr>
      <w:rPr>
        <w:rFonts w:ascii="Arial" w:cs="Arial" w:eastAsia="Arial" w:hAnsi="Arial"/>
        <w:b w:val="0"/>
        <w:i w:val="0"/>
        <w:sz w:val="24"/>
        <w:szCs w:val="24"/>
      </w:rPr>
    </w:lvl>
    <w:lvl w:ilvl="3">
      <w:start w:val="0"/>
      <w:numFmt w:val="bullet"/>
      <w:lvlText w:val="•"/>
      <w:lvlJc w:val="left"/>
      <w:pPr>
        <w:ind w:left="3208" w:hanging="360"/>
      </w:pPr>
      <w:rPr/>
    </w:lvl>
    <w:lvl w:ilvl="4">
      <w:start w:val="0"/>
      <w:numFmt w:val="bullet"/>
      <w:lvlText w:val="•"/>
      <w:lvlJc w:val="left"/>
      <w:pPr>
        <w:ind w:left="4213" w:hanging="360"/>
      </w:pPr>
      <w:rPr/>
    </w:lvl>
    <w:lvl w:ilvl="5">
      <w:start w:val="0"/>
      <w:numFmt w:val="bullet"/>
      <w:lvlText w:val="•"/>
      <w:lvlJc w:val="left"/>
      <w:pPr>
        <w:ind w:left="5217" w:hanging="360"/>
      </w:pPr>
      <w:rPr/>
    </w:lvl>
    <w:lvl w:ilvl="6">
      <w:start w:val="0"/>
      <w:numFmt w:val="bullet"/>
      <w:lvlText w:val="•"/>
      <w:lvlJc w:val="left"/>
      <w:pPr>
        <w:ind w:left="6222" w:hanging="360"/>
      </w:pPr>
      <w:rPr/>
    </w:lvl>
    <w:lvl w:ilvl="7">
      <w:start w:val="0"/>
      <w:numFmt w:val="bullet"/>
      <w:lvlText w:val="•"/>
      <w:lvlJc w:val="left"/>
      <w:pPr>
        <w:ind w:left="7226" w:hanging="360"/>
      </w:pPr>
      <w:rPr/>
    </w:lvl>
    <w:lvl w:ilvl="8">
      <w:start w:val="0"/>
      <w:numFmt w:val="bullet"/>
      <w:lvlText w:val="•"/>
      <w:lvlJc w:val="left"/>
      <w:pPr>
        <w:ind w:left="8231" w:hanging="360"/>
      </w:pPr>
      <w:rPr/>
    </w:lvl>
  </w:abstractNum>
  <w:abstractNum w:abstractNumId="2">
    <w:lvl w:ilvl="0">
      <w:start w:val="8"/>
      <w:numFmt w:val="decimalZero"/>
      <w:lvlText w:val="%1"/>
      <w:lvlJc w:val="left"/>
      <w:pPr>
        <w:ind w:left="1320" w:hanging="480"/>
      </w:pPr>
      <w:rPr/>
    </w:lvl>
    <w:lvl w:ilvl="1">
      <w:start w:val="1"/>
      <w:numFmt w:val="decimal"/>
      <w:lvlText w:val="%1.%2"/>
      <w:lvlJc w:val="left"/>
      <w:pPr>
        <w:ind w:left="1320" w:hanging="480"/>
      </w:pPr>
      <w:rPr>
        <w:rFonts w:ascii="Times New Roman" w:cs="Times New Roman" w:eastAsia="Times New Roman" w:hAnsi="Times New Roman"/>
        <w:b w:val="0"/>
        <w:i w:val="0"/>
        <w:sz w:val="24"/>
        <w:szCs w:val="24"/>
      </w:rPr>
    </w:lvl>
    <w:lvl w:ilvl="2">
      <w:start w:val="0"/>
      <w:numFmt w:val="bullet"/>
      <w:lvlText w:val="•"/>
      <w:lvlJc w:val="left"/>
      <w:pPr>
        <w:ind w:left="3104" w:hanging="480"/>
      </w:pPr>
      <w:rPr/>
    </w:lvl>
    <w:lvl w:ilvl="3">
      <w:start w:val="0"/>
      <w:numFmt w:val="bullet"/>
      <w:lvlText w:val="•"/>
      <w:lvlJc w:val="left"/>
      <w:pPr>
        <w:ind w:left="3996" w:hanging="480"/>
      </w:pPr>
      <w:rPr/>
    </w:lvl>
    <w:lvl w:ilvl="4">
      <w:start w:val="0"/>
      <w:numFmt w:val="bullet"/>
      <w:lvlText w:val="•"/>
      <w:lvlJc w:val="left"/>
      <w:pPr>
        <w:ind w:left="4888" w:hanging="480"/>
      </w:pPr>
      <w:rPr/>
    </w:lvl>
    <w:lvl w:ilvl="5">
      <w:start w:val="0"/>
      <w:numFmt w:val="bullet"/>
      <w:lvlText w:val="•"/>
      <w:lvlJc w:val="left"/>
      <w:pPr>
        <w:ind w:left="5780" w:hanging="480"/>
      </w:pPr>
      <w:rPr/>
    </w:lvl>
    <w:lvl w:ilvl="6">
      <w:start w:val="0"/>
      <w:numFmt w:val="bullet"/>
      <w:lvlText w:val="•"/>
      <w:lvlJc w:val="left"/>
      <w:pPr>
        <w:ind w:left="6672" w:hanging="480"/>
      </w:pPr>
      <w:rPr/>
    </w:lvl>
    <w:lvl w:ilvl="7">
      <w:start w:val="0"/>
      <w:numFmt w:val="bullet"/>
      <w:lvlText w:val="•"/>
      <w:lvlJc w:val="left"/>
      <w:pPr>
        <w:ind w:left="7564" w:hanging="480"/>
      </w:pPr>
      <w:rPr/>
    </w:lvl>
    <w:lvl w:ilvl="8">
      <w:start w:val="0"/>
      <w:numFmt w:val="bullet"/>
      <w:lvlText w:val="•"/>
      <w:lvlJc w:val="left"/>
      <w:pPr>
        <w:ind w:left="8456"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80"/>
    </w:pPr>
    <w:rPr>
      <w:rFonts w:ascii="Arial" w:cs="Arial" w:eastAsia="Arial" w:hAnsi="Arial"/>
      <w:b w:val="1"/>
      <w:sz w:val="28"/>
      <w:szCs w:val="28"/>
    </w:rPr>
  </w:style>
  <w:style w:type="paragraph" w:styleId="Heading2">
    <w:name w:val="heading 2"/>
    <w:basedOn w:val="Normal"/>
    <w:next w:val="Normal"/>
    <w:pPr>
      <w:ind w:left="653" w:hanging="534"/>
    </w:pPr>
    <w:rPr>
      <w:rFonts w:ascii="Arial" w:cs="Arial" w:eastAsia="Arial" w:hAnsi="Arial"/>
      <w:b w:val="1"/>
      <w:sz w:val="24"/>
      <w:szCs w:val="24"/>
    </w:rPr>
  </w:style>
  <w:style w:type="paragraph" w:styleId="Heading3">
    <w:name w:val="heading 3"/>
    <w:basedOn w:val="Normal"/>
    <w:next w:val="Normal"/>
    <w:pPr>
      <w:spacing w:before="82" w:lineRule="auto"/>
      <w:ind w:left="120"/>
    </w:pPr>
    <w:rPr>
      <w:rFonts w:ascii="Arial-BoldItalicMT" w:cs="Arial-BoldItalicMT" w:eastAsia="Arial-BoldItalicMT" w:hAnsi="Arial-BoldItalicMT"/>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90"/>
      <w:ind w:left="480"/>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69"/>
      <w:ind w:left="1320" w:hanging="480"/>
    </w:pPr>
    <w:rPr>
      <w:rFonts w:ascii="Times New Roman" w:cs="Times New Roman" w:eastAsia="Times New Roman" w:hAnsi="Times New Roman"/>
      <w:sz w:val="24"/>
      <w:szCs w:val="24"/>
      <w:lang w:bidi="ar-SA" w:eastAsia="en-US" w:val="en-US"/>
    </w:rPr>
  </w:style>
  <w:style w:type="paragraph" w:styleId="TOC3">
    <w:name w:val="TOC 3"/>
    <w:basedOn w:val="Normal"/>
    <w:uiPriority w:val="1"/>
    <w:qFormat w:val="1"/>
    <w:pPr>
      <w:spacing w:before="69"/>
      <w:ind w:left="1320" w:hanging="48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480"/>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ind w:left="653" w:hanging="534"/>
      <w:outlineLvl w:val="2"/>
    </w:pPr>
    <w:rPr>
      <w:rFonts w:ascii="Arial" w:cs="Arial" w:eastAsia="Arial" w:hAnsi="Arial"/>
      <w:b w:val="1"/>
      <w:bCs w:val="1"/>
      <w:sz w:val="24"/>
      <w:szCs w:val="24"/>
      <w:lang w:bidi="ar-SA" w:eastAsia="en-US" w:val="en-US"/>
    </w:rPr>
  </w:style>
  <w:style w:type="paragraph" w:styleId="Heading3">
    <w:name w:val="Heading 3"/>
    <w:basedOn w:val="Normal"/>
    <w:uiPriority w:val="1"/>
    <w:qFormat w:val="1"/>
    <w:pPr>
      <w:spacing w:before="82"/>
      <w:ind w:left="120"/>
      <w:outlineLvl w:val="3"/>
    </w:pPr>
    <w:rPr>
      <w:rFonts w:ascii="Arial-BoldItalicMT" w:cs="Arial-BoldItalicMT" w:eastAsia="Arial-BoldItalicMT" w:hAnsi="Arial-BoldItalicMT"/>
      <w:b w:val="1"/>
      <w:bCs w:val="1"/>
      <w:i w:val="1"/>
      <w:iCs w:val="1"/>
      <w:sz w:val="24"/>
      <w:szCs w:val="24"/>
      <w:lang w:bidi="ar-SA" w:eastAsia="en-US" w:val="en-US"/>
    </w:rPr>
  </w:style>
  <w:style w:type="paragraph" w:styleId="ListParagraph">
    <w:name w:val="List Paragraph"/>
    <w:basedOn w:val="Normal"/>
    <w:uiPriority w:val="1"/>
    <w:qFormat w:val="1"/>
    <w:pPr>
      <w:ind w:left="653" w:hanging="534"/>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05"/>
      <w:ind w:left="99"/>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gGcAUyk0V1OlSGMuxUkKSx4gww==">AMUW2mUaPjqJreD2fveedcVqBpjWo+vu1N3KmCc0K45URTw/vI+Oas5HvlLYSWwS5H8QF/lZKwg7X+qhWjbJQEKTol4iJ5t9C3wxp0Ofg0+9R9JvMsY8kEpIz4/hPV1TWV99m78ImL6p+5RDfrrY6EU2L4chY7NXSkSLCVGHgxR8fEjGgzbLUXnwTtOodhtLmdqfg7Ai9cLs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2022-08-31T16:08:03Z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m96 Google Docs Renderer</vt:lpwstr>
  </property>
</Properties>
</file>