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spacing w:before="91" w:lineRule="auto"/>
        <w:ind w:firstLine="3284"/>
        <w:rPr/>
      </w:pPr>
      <w:bookmarkStart w:colFirst="0" w:colLast="0" w:name="_heading=h.gjdgxs" w:id="0"/>
      <w:bookmarkEnd w:id="0"/>
      <w:r w:rsidDel="00000000" w:rsidR="00000000" w:rsidRPr="00000000">
        <w:rPr>
          <w:rtl w:val="0"/>
        </w:rPr>
        <w:t xml:space="preserve">Policy-ISMS 10 </w:t>
      </w:r>
      <w:r w:rsidDel="00000000" w:rsidR="00000000" w:rsidRPr="00000000">
        <w:rPr>
          <w:color w:val="333333"/>
          <w:rtl w:val="0"/>
        </w:rPr>
        <w:t xml:space="preserve">Improvement</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tbl>
      <w:tblPr>
        <w:tblStyle w:val="Table1"/>
        <w:tblW w:w="9360.0" w:type="dxa"/>
        <w:jc w:val="left"/>
        <w:tblInd w:w="550.0" w:type="dxa"/>
        <w:tblBorders>
          <w:top w:color="878787" w:space="0" w:sz="12" w:val="single"/>
          <w:left w:color="878787" w:space="0" w:sz="12" w:val="single"/>
          <w:bottom w:color="878787" w:space="0" w:sz="12" w:val="single"/>
          <w:right w:color="878787" w:space="0" w:sz="12" w:val="single"/>
          <w:insideH w:color="878787" w:space="0" w:sz="12" w:val="single"/>
          <w:insideV w:color="878787" w:space="0" w:sz="12" w:val="single"/>
        </w:tblBorders>
        <w:tblLayout w:type="fixed"/>
        <w:tblLook w:val="0000"/>
      </w:tblPr>
      <w:tblGrid>
        <w:gridCol w:w="2040"/>
        <w:gridCol w:w="7320"/>
        <w:tblGridChange w:id="0">
          <w:tblGrid>
            <w:gridCol w:w="2040"/>
            <w:gridCol w:w="7320"/>
          </w:tblGrid>
        </w:tblGridChange>
      </w:tblGrid>
      <w:tr>
        <w:trPr>
          <w:cantSplit w:val="0"/>
          <w:trHeight w:val="450"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ISMS No.</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ISMS 10</w:t>
            </w:r>
          </w:p>
        </w:tc>
      </w:tr>
      <w:tr>
        <w:trPr>
          <w:cantSplit w:val="0"/>
          <w:trHeight w:val="509"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Title</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9"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Improvement</w:t>
            </w:r>
          </w:p>
        </w:tc>
      </w:tr>
      <w:tr>
        <w:trPr>
          <w:cantSplit w:val="0"/>
          <w:trHeight w:val="450"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Revision</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Effective Date</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11"/>
          <w:szCs w:val="11"/>
          <w:u w:val="none"/>
          <w:shd w:fill="auto" w:val="clear"/>
          <w:vertAlign w:val="baseline"/>
        </w:rPr>
      </w:pPr>
      <w:r w:rsidDel="00000000" w:rsidR="00000000" w:rsidRPr="00000000">
        <w:rPr>
          <w:rtl w:val="0"/>
        </w:rPr>
      </w:r>
    </w:p>
    <w:tbl>
      <w:tblPr>
        <w:tblStyle w:val="Table2"/>
        <w:tblW w:w="9360.0" w:type="dxa"/>
        <w:jc w:val="left"/>
        <w:tblInd w:w="550.0" w:type="dxa"/>
        <w:tblBorders>
          <w:top w:color="878787" w:space="0" w:sz="12" w:val="single"/>
          <w:left w:color="878787" w:space="0" w:sz="12" w:val="single"/>
          <w:bottom w:color="878787" w:space="0" w:sz="12" w:val="single"/>
          <w:right w:color="878787" w:space="0" w:sz="12" w:val="single"/>
          <w:insideH w:color="878787" w:space="0" w:sz="12" w:val="single"/>
          <w:insideV w:color="878787" w:space="0" w:sz="12" w:val="single"/>
        </w:tblBorders>
        <w:tblLayout w:type="fixed"/>
        <w:tblLook w:val="0000"/>
      </w:tblPr>
      <w:tblGrid>
        <w:gridCol w:w="1400"/>
        <w:gridCol w:w="1480"/>
        <w:gridCol w:w="1620"/>
        <w:gridCol w:w="1620"/>
        <w:gridCol w:w="3240"/>
        <w:tblGridChange w:id="0">
          <w:tblGrid>
            <w:gridCol w:w="1400"/>
            <w:gridCol w:w="1480"/>
            <w:gridCol w:w="1620"/>
            <w:gridCol w:w="1620"/>
            <w:gridCol w:w="3240"/>
          </w:tblGrid>
        </w:tblGridChange>
      </w:tblGrid>
      <w:tr>
        <w:trPr>
          <w:cantSplit w:val="0"/>
          <w:trHeight w:val="770"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3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Revision No.</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4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Revision Date</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4"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Revised By</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4"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Approved by</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5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Revision Description</w:t>
            </w:r>
          </w:p>
        </w:tc>
      </w:tr>
      <w:tr>
        <w:trPr>
          <w:cantSplit w:val="0"/>
          <w:trHeight w:val="709"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3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1.x</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9"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E">
      <w:pPr>
        <w:spacing w:after="0" w:line="240" w:lineRule="auto"/>
        <w:ind w:firstLine="0"/>
        <w:jc w:val="left"/>
        <w:rPr>
          <w:rFonts w:ascii="Verdana" w:cs="Verdana" w:eastAsia="Verdana" w:hAnsi="Verdana"/>
          <w:sz w:val="20"/>
          <w:szCs w:val="20"/>
        </w:rPr>
        <w:sectPr>
          <w:pgSz w:h="15840" w:w="12240" w:orient="portrait"/>
          <w:pgMar w:bottom="1480" w:top="1420" w:left="920" w:right="980" w:header="280" w:footer="1295"/>
          <w:pgNumType w:start="1"/>
        </w:sectPr>
      </w:pPr>
      <w:r w:rsidDel="00000000" w:rsidR="00000000" w:rsidRPr="00000000">
        <w:rPr>
          <w:rtl w:val="0"/>
        </w:rPr>
      </w:r>
    </w:p>
    <w:p w:rsidR="00000000" w:rsidDel="00000000" w:rsidP="00000000" w:rsidRDefault="00000000" w:rsidRPr="00000000" w14:paraId="0000001F">
      <w:pPr>
        <w:spacing w:after="0" w:line="266" w:lineRule="auto"/>
        <w:ind w:firstLine="0"/>
        <w:jc w:val="left"/>
        <w:rPr>
          <w:rFonts w:ascii="Verdana" w:cs="Verdana" w:eastAsia="Verdana" w:hAnsi="Verdana"/>
          <w:sz w:val="20"/>
          <w:szCs w:val="20"/>
        </w:rPr>
        <w:sectPr>
          <w:type w:val="continuous"/>
          <w:pgSz w:h="15840" w:w="12240" w:orient="portrait"/>
          <w:pgMar w:bottom="1480" w:top="1420" w:left="920" w:right="980" w:header="280" w:footer="1295"/>
        </w:sect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9879"/>
            </w:tabs>
            <w:spacing w:after="0" w:before="90" w:line="240" w:lineRule="auto"/>
            <w:ind w:left="5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Policy-ISMS 10 Improvement</w:t>
            </w:r>
          </w:hyperlink>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9879"/>
            </w:tabs>
            <w:spacing w:after="0" w:before="209" w:line="240" w:lineRule="auto"/>
            <w:ind w:left="5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ISMS 10 Improvement</w:t>
            </w:r>
          </w:hyperlink>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1360"/>
              <w:tab w:val="right" w:pos="9879"/>
            </w:tabs>
            <w:spacing w:after="0" w:before="139" w:line="240" w:lineRule="auto"/>
            <w:ind w:left="1360" w:right="0" w:hanging="480"/>
            <w:jc w:val="left"/>
            <w:rPr/>
          </w:pPr>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Non-Conformity and Corrective Actions</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pos="1540"/>
              <w:tab w:val="right" w:pos="9879"/>
            </w:tabs>
            <w:spacing w:after="0" w:before="129" w:line="240" w:lineRule="auto"/>
            <w:ind w:left="1540" w:right="0" w:hanging="660"/>
            <w:jc w:val="left"/>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Corrective Action Timeline Based on Non-Conformity Category</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1360"/>
              <w:tab w:val="right" w:pos="9879"/>
            </w:tabs>
            <w:spacing w:after="0" w:before="129" w:line="240" w:lineRule="auto"/>
            <w:ind w:left="1360" w:right="0" w:hanging="480"/>
            <w:jc w:val="left"/>
            <w:rPr/>
          </w:pP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Continual Improvement</w:t>
              <w:tab/>
              <w:t xml:space="preserve">7</w:t>
            </w:r>
          </w:hyperlink>
          <w:r w:rsidDel="00000000" w:rsidR="00000000" w:rsidRPr="00000000">
            <w:rPr>
              <w:rtl w:val="0"/>
            </w:rPr>
          </w:r>
        </w:p>
        <w:p w:rsidR="00000000" w:rsidDel="00000000" w:rsidP="00000000" w:rsidRDefault="00000000" w:rsidRPr="00000000" w14:paraId="00000028">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0" w:lineRule="auto"/>
        <w:ind w:firstLine="0"/>
        <w:rPr/>
        <w:sectPr>
          <w:type w:val="nextPage"/>
          <w:pgSz w:h="15840" w:w="12240" w:orient="portrait"/>
          <w:pgMar w:bottom="1560" w:top="1420" w:left="920" w:right="980" w:header="280" w:footer="1295"/>
        </w:sect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ind w:firstLine="3284"/>
        <w:rPr/>
      </w:pPr>
      <w:bookmarkStart w:colFirst="0" w:colLast="0" w:name="_heading=h.30j0zll" w:id="1"/>
      <w:bookmarkEnd w:id="1"/>
      <w:r w:rsidDel="00000000" w:rsidR="00000000" w:rsidRPr="00000000">
        <w:rPr>
          <w:rtl w:val="0"/>
        </w:rPr>
        <w:t xml:space="preserve">ISMS 10 Improvement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understands and affirms its support of</w:t>
      </w:r>
    </w:p>
    <w:p w:rsidR="00000000" w:rsidDel="00000000" w:rsidP="00000000" w:rsidRDefault="00000000" w:rsidRPr="00000000" w14:paraId="0000002D">
      <w:pPr>
        <w:spacing w:before="9" w:lineRule="auto"/>
        <w:ind w:left="970" w:right="0" w:firstLine="0"/>
        <w:jc w:val="left"/>
        <w:rPr>
          <w:sz w:val="24"/>
          <w:szCs w:val="24"/>
        </w:rPr>
      </w:pPr>
      <w:r w:rsidDel="00000000" w:rsidR="00000000" w:rsidRPr="00000000">
        <w:rPr>
          <w:i w:val="1"/>
          <w:sz w:val="24"/>
          <w:szCs w:val="24"/>
          <w:rtl w:val="0"/>
        </w:rPr>
        <w:t xml:space="preserve">ISO/IEC 27001:2013-10 Improvement</w:t>
      </w:r>
      <w:r w:rsidDel="00000000" w:rsidR="00000000" w:rsidRPr="00000000">
        <w:rPr>
          <w:sz w:val="24"/>
          <w:szCs w:val="24"/>
          <w:rtl w:val="0"/>
        </w:rPr>
        <w:t xml:space="preserve">, with the following specific policy guidance.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numPr>
          <w:ilvl w:val="1"/>
          <w:numId w:val="2"/>
        </w:numPr>
        <w:tabs>
          <w:tab w:val="left" w:pos="694"/>
        </w:tabs>
        <w:spacing w:after="0" w:before="0" w:line="240" w:lineRule="auto"/>
        <w:ind w:left="693" w:right="0" w:hanging="534"/>
        <w:jc w:val="left"/>
        <w:rPr/>
      </w:pPr>
      <w:bookmarkStart w:colFirst="0" w:colLast="0" w:name="_heading=h.1fob9te" w:id="2"/>
      <w:bookmarkEnd w:id="2"/>
      <w:r w:rsidDel="00000000" w:rsidR="00000000" w:rsidRPr="00000000">
        <w:rPr>
          <w:rtl w:val="0"/>
        </w:rPr>
        <w:t xml:space="preserve">Non-Conformity and Corrective Actions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6.99999999999994" w:lineRule="auto"/>
        <w:ind w:left="970" w:right="4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560" w:top="1420" w:left="920" w:right="980" w:header="280" w:footer="129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 shall be taken to eliminate the cause of Non-Conformity associated with the implementation and operation of the Information Security Management System (ISMS) in order to prevent recurrence.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numPr>
          <w:ilvl w:val="2"/>
          <w:numId w:val="2"/>
        </w:numPr>
        <w:tabs>
          <w:tab w:val="left" w:pos="894"/>
        </w:tabs>
        <w:spacing w:after="0" w:before="93" w:line="240" w:lineRule="auto"/>
        <w:ind w:left="893" w:right="0" w:hanging="734"/>
        <w:jc w:val="left"/>
        <w:rPr/>
      </w:pPr>
      <w:bookmarkStart w:colFirst="0" w:colLast="0" w:name="_heading=h.3znysh7" w:id="3"/>
      <w:bookmarkEnd w:id="3"/>
      <w:r w:rsidDel="00000000" w:rsidR="00000000" w:rsidRPr="00000000">
        <w:rPr>
          <w:rtl w:val="0"/>
        </w:rPr>
        <w:t xml:space="preserve">Corrective Action Timeline Based on Non-Conformity Category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6.99999999999994" w:lineRule="auto"/>
        <w:ind w:left="970" w:right="4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Corrective actions for findings of Non-Conformity shall be made in a timely manner based on the severity of the finding of Non-Conformity (i.e. Major, Minor, or Opportunity For Improvement). Required activities corrective actions will be defined and will each have an assigned time duration as well as an assigned “Owner” who is responsible for completion of their assigned required activity/ies toward completion of Corrective Action(s). Deviations from this timeline should be planned, documented, and approved by management prior to exceeding the durations as set forth below.</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p>
    <w:tbl>
      <w:tblPr>
        <w:tblStyle w:val="Table3"/>
        <w:tblW w:w="10080.0" w:type="dxa"/>
        <w:jc w:val="left"/>
        <w:tblInd w:w="15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3160"/>
        <w:gridCol w:w="1620"/>
        <w:gridCol w:w="1620"/>
        <w:gridCol w:w="1620"/>
        <w:gridCol w:w="2060"/>
        <w:tblGridChange w:id="0">
          <w:tblGrid>
            <w:gridCol w:w="3160"/>
            <w:gridCol w:w="1620"/>
            <w:gridCol w:w="1620"/>
            <w:gridCol w:w="1620"/>
            <w:gridCol w:w="2060"/>
          </w:tblGrid>
        </w:tblGridChange>
      </w:tblGrid>
      <w:tr>
        <w:trPr>
          <w:cantSplit w:val="0"/>
          <w:trHeight w:val="349" w:hRule="atLeast"/>
          <w:tblHeader w:val="0"/>
        </w:trPr>
        <w:tc>
          <w:tcPr>
            <w:vMerge w:val="restart"/>
            <w:tcBorders>
              <w:left w:color="000000" w:space="0" w:sz="0" w:val="nil"/>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83" w:right="5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36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701" w:right="67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29" w:hRule="atLeast"/>
          <w:tblHeader w:val="0"/>
        </w:trPr>
        <w:tc>
          <w:tcPr>
            <w:vMerge w:val="continue"/>
            <w:tcBorders>
              <w:left w:color="000000" w:space="0" w:sz="0" w:val="nil"/>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shd w:fill="ff0000"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6" w:right="10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4" w:right="119"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shd w:fill="00b04f"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80" w:lineRule="auto"/>
              <w:ind w:left="136" w:right="119"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30" w:hRule="atLeast"/>
          <w:tblHeader w:val="0"/>
        </w:trPr>
        <w:tc>
          <w:tcPr>
            <w:shd w:fill="808080"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80" w:lineRule="auto"/>
              <w:ind w:left="647" w:right="0" w:hanging="439"/>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80" w:lineRule="auto"/>
              <w:ind w:left="640" w:right="179" w:hanging="439"/>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80" w:lineRule="auto"/>
              <w:ind w:left="640" w:right="179" w:hanging="439"/>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09"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80"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36" w:right="10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34" w:right="119"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34" w:right="119"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4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80" w:lineRule="auto"/>
              <w:ind w:left="40" w:right="48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808080"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808080"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808080"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808080"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0"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80"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3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5"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34" w:right="119"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80" w:lineRule="auto"/>
              <w:ind w:left="4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09"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80"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3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5"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34" w:right="119"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80" w:lineRule="auto"/>
              <w:ind w:left="4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49"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80"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4" w:right="119"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4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119"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80" w:lineRule="auto"/>
              <w:ind w:left="4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0"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80"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3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5"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34" w:right="119"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4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09"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80"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3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5"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34" w:right="119"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80" w:lineRule="auto"/>
              <w:ind w:left="4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29"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3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5"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34" w:right="119"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4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2">
      <w:pPr>
        <w:spacing w:after="0" w:lineRule="auto"/>
        <w:ind w:firstLine="0"/>
        <w:rPr>
          <w:sz w:val="20"/>
          <w:szCs w:val="20"/>
        </w:rPr>
        <w:sectPr>
          <w:type w:val="nextPage"/>
          <w:pgSz w:h="15840" w:w="12240" w:orient="portrait"/>
          <w:pgMar w:bottom="1560" w:top="1420" w:left="920" w:right="980" w:header="280" w:footer="1295"/>
        </w:sect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2"/>
        <w:numPr>
          <w:ilvl w:val="1"/>
          <w:numId w:val="2"/>
        </w:numPr>
        <w:tabs>
          <w:tab w:val="left" w:pos="694"/>
        </w:tabs>
        <w:spacing w:after="0" w:before="92" w:line="240" w:lineRule="auto"/>
        <w:ind w:left="693" w:right="0" w:hanging="534"/>
        <w:jc w:val="left"/>
        <w:rPr/>
      </w:pPr>
      <w:bookmarkStart w:colFirst="0" w:colLast="0" w:name="_heading=h.2et92p0" w:id="4"/>
      <w:bookmarkEnd w:id="4"/>
      <w:r w:rsidDel="00000000" w:rsidR="00000000" w:rsidRPr="00000000">
        <w:rPr>
          <w:rtl w:val="0"/>
        </w:rPr>
        <w:t xml:space="preserve">Continual Improvement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6.99999999999994" w:lineRule="auto"/>
        <w:ind w:left="9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shall develop and execute procedural approaches to continually improve the Information Security Management System (ISMS) and its associated policies.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970" w:right="4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Continual Improvement structure shall be defined in procedural documentation and supported by many elements of the information security and ISMS system. Continual Improvement shall include the following organizational commitments:</w:t>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959"/>
          <w:tab w:val="left" w:pos="1960"/>
        </w:tabs>
        <w:spacing w:after="0" w:before="122" w:line="246.99999999999994" w:lineRule="auto"/>
        <w:ind w:left="1240" w:right="522"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focus on and intent to improve information security posture via policy, procedure, and measurement;</w:t>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959"/>
          <w:tab w:val="left" w:pos="1960"/>
        </w:tabs>
        <w:spacing w:after="0" w:before="1" w:line="240" w:lineRule="auto"/>
        <w:ind w:left="19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adhere to ISO/IEC 27001:2013 standards;</w:t>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959"/>
          <w:tab w:val="left" w:pos="1960"/>
        </w:tabs>
        <w:spacing w:after="0" w:before="9" w:line="240" w:lineRule="auto"/>
        <w:ind w:left="19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periodic review of information security policy (ISMS/ISP);</w:t>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959"/>
          <w:tab w:val="left" w:pos="1960"/>
        </w:tabs>
        <w:spacing w:after="0" w:before="9" w:line="240" w:lineRule="auto"/>
        <w:ind w:left="19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management approval of revisions to information security policy;</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959"/>
          <w:tab w:val="left" w:pos="1960"/>
        </w:tabs>
        <w:spacing w:after="0" w:before="9" w:line="240" w:lineRule="auto"/>
        <w:ind w:left="19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meet requirements of ISMS policies;</w:t>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959"/>
          <w:tab w:val="left" w:pos="1960"/>
        </w:tabs>
        <w:spacing w:after="0" w:before="9" w:line="240" w:lineRule="auto"/>
        <w:ind w:left="19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align ISMS/ISP procedures with ISMS/ISP policies;</w:t>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960"/>
        </w:tabs>
        <w:spacing w:after="0" w:before="9" w:line="246.99999999999994" w:lineRule="auto"/>
        <w:ind w:left="1240" w:right="1365"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and analyze events to identify security-related incidents to effect precautionary action; and</w:t>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1960"/>
        </w:tabs>
        <w:spacing w:after="0" w:before="2" w:line="246.99999999999994" w:lineRule="auto"/>
        <w:ind w:left="1240" w:right="467"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capture and integrate information gained through monitoring and analyzing events that identify security-related incidents as well as precautionary actions taken; and identify resources necessary to maintain and continually improve the ISMS/ISP;</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6.99999999999994" w:lineRule="auto"/>
        <w:ind w:left="970" w:right="4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shall collect and analyze data to determine the effectiveness of the ISMS system and make decisions as to where improvements can be made (which includes follow-up on actions for continual improvement of the ISMS). The continual improvement of the ISMS is facilitated through the use of policy, objectives, audit results, analysis of data, action (both corrective and preventive), and management review.</w:t>
      </w:r>
    </w:p>
    <w:sectPr>
      <w:type w:val="nextPage"/>
      <w:pgSz w:h="15840" w:w="12240" w:orient="portrait"/>
      <w:pgMar w:bottom="1480" w:top="1420" w:left="920" w:right="980" w:header="280" w:footer="129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1240" w:hanging="360"/>
      </w:pPr>
      <w:rPr>
        <w:rFonts w:ascii="Arial" w:cs="Arial" w:eastAsia="Arial" w:hAnsi="Arial"/>
        <w:b w:val="0"/>
        <w:i w:val="0"/>
        <w:sz w:val="20"/>
        <w:szCs w:val="20"/>
      </w:rPr>
    </w:lvl>
    <w:lvl w:ilvl="1">
      <w:start w:val="0"/>
      <w:numFmt w:val="bullet"/>
      <w:lvlText w:val="•"/>
      <w:lvlJc w:val="left"/>
      <w:pPr>
        <w:ind w:left="2150" w:hanging="360"/>
      </w:pPr>
      <w:rPr/>
    </w:lvl>
    <w:lvl w:ilvl="2">
      <w:start w:val="0"/>
      <w:numFmt w:val="bullet"/>
      <w:lvlText w:val="•"/>
      <w:lvlJc w:val="left"/>
      <w:pPr>
        <w:ind w:left="3060" w:hanging="360"/>
      </w:pPr>
      <w:rPr/>
    </w:lvl>
    <w:lvl w:ilvl="3">
      <w:start w:val="0"/>
      <w:numFmt w:val="bullet"/>
      <w:lvlText w:val="•"/>
      <w:lvlJc w:val="left"/>
      <w:pPr>
        <w:ind w:left="3970" w:hanging="360"/>
      </w:pPr>
      <w:rPr/>
    </w:lvl>
    <w:lvl w:ilvl="4">
      <w:start w:val="0"/>
      <w:numFmt w:val="bullet"/>
      <w:lvlText w:val="•"/>
      <w:lvlJc w:val="left"/>
      <w:pPr>
        <w:ind w:left="4880" w:hanging="360"/>
      </w:pPr>
      <w:rPr/>
    </w:lvl>
    <w:lvl w:ilvl="5">
      <w:start w:val="0"/>
      <w:numFmt w:val="bullet"/>
      <w:lvlText w:val="•"/>
      <w:lvlJc w:val="left"/>
      <w:pPr>
        <w:ind w:left="5790" w:hanging="360"/>
      </w:pPr>
      <w:rPr/>
    </w:lvl>
    <w:lvl w:ilvl="6">
      <w:start w:val="0"/>
      <w:numFmt w:val="bullet"/>
      <w:lvlText w:val="•"/>
      <w:lvlJc w:val="left"/>
      <w:pPr>
        <w:ind w:left="6700" w:hanging="360"/>
      </w:pPr>
      <w:rPr/>
    </w:lvl>
    <w:lvl w:ilvl="7">
      <w:start w:val="0"/>
      <w:numFmt w:val="bullet"/>
      <w:lvlText w:val="•"/>
      <w:lvlJc w:val="left"/>
      <w:pPr>
        <w:ind w:left="7610" w:hanging="360"/>
      </w:pPr>
      <w:rPr/>
    </w:lvl>
    <w:lvl w:ilvl="8">
      <w:start w:val="0"/>
      <w:numFmt w:val="bullet"/>
      <w:lvlText w:val="•"/>
      <w:lvlJc w:val="left"/>
      <w:pPr>
        <w:ind w:left="8520" w:hanging="360"/>
      </w:pPr>
      <w:rPr/>
    </w:lvl>
  </w:abstractNum>
  <w:abstractNum w:abstractNumId="2">
    <w:lvl w:ilvl="0">
      <w:start w:val="10"/>
      <w:numFmt w:val="decimal"/>
      <w:lvlText w:val="%1"/>
      <w:lvlJc w:val="left"/>
      <w:pPr>
        <w:ind w:left="693" w:hanging="534"/>
      </w:pPr>
      <w:rPr/>
    </w:lvl>
    <w:lvl w:ilvl="1">
      <w:start w:val="1"/>
      <w:numFmt w:val="decimal"/>
      <w:lvlText w:val="%1.%2"/>
      <w:lvlJc w:val="left"/>
      <w:pPr>
        <w:ind w:left="693" w:hanging="534"/>
      </w:pPr>
      <w:rPr>
        <w:rFonts w:ascii="Arial" w:cs="Arial" w:eastAsia="Arial" w:hAnsi="Arial"/>
        <w:b w:val="1"/>
        <w:i w:val="0"/>
        <w:sz w:val="24"/>
        <w:szCs w:val="24"/>
      </w:rPr>
    </w:lvl>
    <w:lvl w:ilvl="2">
      <w:start w:val="1"/>
      <w:numFmt w:val="decimal"/>
      <w:lvlText w:val="%1.%2.%3"/>
      <w:lvlJc w:val="left"/>
      <w:pPr>
        <w:ind w:left="893" w:hanging="734.0000000000001"/>
      </w:pPr>
      <w:rPr>
        <w:rFonts w:ascii="Arial" w:cs="Arial" w:eastAsia="Arial" w:hAnsi="Arial"/>
        <w:b w:val="1"/>
        <w:i w:val="0"/>
        <w:sz w:val="24"/>
        <w:szCs w:val="24"/>
      </w:rPr>
    </w:lvl>
    <w:lvl w:ilvl="3">
      <w:start w:val="0"/>
      <w:numFmt w:val="bullet"/>
      <w:lvlText w:val="•"/>
      <w:lvlJc w:val="left"/>
      <w:pPr>
        <w:ind w:left="2997" w:hanging="734"/>
      </w:pPr>
      <w:rPr/>
    </w:lvl>
    <w:lvl w:ilvl="4">
      <w:start w:val="0"/>
      <w:numFmt w:val="bullet"/>
      <w:lvlText w:val="•"/>
      <w:lvlJc w:val="left"/>
      <w:pPr>
        <w:ind w:left="4046" w:hanging="733.9999999999995"/>
      </w:pPr>
      <w:rPr/>
    </w:lvl>
    <w:lvl w:ilvl="5">
      <w:start w:val="0"/>
      <w:numFmt w:val="bullet"/>
      <w:lvlText w:val="•"/>
      <w:lvlJc w:val="left"/>
      <w:pPr>
        <w:ind w:left="5095" w:hanging="734"/>
      </w:pPr>
      <w:rPr/>
    </w:lvl>
    <w:lvl w:ilvl="6">
      <w:start w:val="0"/>
      <w:numFmt w:val="bullet"/>
      <w:lvlText w:val="•"/>
      <w:lvlJc w:val="left"/>
      <w:pPr>
        <w:ind w:left="6144" w:hanging="734"/>
      </w:pPr>
      <w:rPr/>
    </w:lvl>
    <w:lvl w:ilvl="7">
      <w:start w:val="0"/>
      <w:numFmt w:val="bullet"/>
      <w:lvlText w:val="•"/>
      <w:lvlJc w:val="left"/>
      <w:pPr>
        <w:ind w:left="7193" w:hanging="734"/>
      </w:pPr>
      <w:rPr/>
    </w:lvl>
    <w:lvl w:ilvl="8">
      <w:start w:val="0"/>
      <w:numFmt w:val="bullet"/>
      <w:lvlText w:val="•"/>
      <w:lvlJc w:val="left"/>
      <w:pPr>
        <w:ind w:left="8242" w:hanging="733.9999999999991"/>
      </w:pPr>
      <w:rPr/>
    </w:lvl>
  </w:abstractNum>
  <w:abstractNum w:abstractNumId="3">
    <w:lvl w:ilvl="0">
      <w:start w:val="10"/>
      <w:numFmt w:val="decimal"/>
      <w:lvlText w:val="%1"/>
      <w:lvlJc w:val="left"/>
      <w:pPr>
        <w:ind w:left="1360" w:hanging="480"/>
      </w:pPr>
      <w:rPr/>
    </w:lvl>
    <w:lvl w:ilvl="1">
      <w:start w:val="1"/>
      <w:numFmt w:val="decimal"/>
      <w:lvlText w:val="%1.%2"/>
      <w:lvlJc w:val="left"/>
      <w:pPr>
        <w:ind w:left="1360" w:hanging="480"/>
      </w:pPr>
      <w:rPr>
        <w:rFonts w:ascii="Times New Roman" w:cs="Times New Roman" w:eastAsia="Times New Roman" w:hAnsi="Times New Roman"/>
        <w:b w:val="0"/>
        <w:i w:val="0"/>
        <w:sz w:val="24"/>
        <w:szCs w:val="24"/>
      </w:rPr>
    </w:lvl>
    <w:lvl w:ilvl="2">
      <w:start w:val="1"/>
      <w:numFmt w:val="decimal"/>
      <w:lvlText w:val="%1.%2.%3"/>
      <w:lvlJc w:val="left"/>
      <w:pPr>
        <w:ind w:left="1540" w:hanging="660"/>
      </w:pPr>
      <w:rPr>
        <w:rFonts w:ascii="Times New Roman" w:cs="Times New Roman" w:eastAsia="Times New Roman" w:hAnsi="Times New Roman"/>
        <w:b w:val="0"/>
        <w:i w:val="0"/>
        <w:sz w:val="24"/>
        <w:szCs w:val="24"/>
      </w:rPr>
    </w:lvl>
    <w:lvl w:ilvl="3">
      <w:start w:val="0"/>
      <w:numFmt w:val="bullet"/>
      <w:lvlText w:val="•"/>
      <w:lvlJc w:val="left"/>
      <w:pPr>
        <w:ind w:left="3495" w:hanging="660"/>
      </w:pPr>
      <w:rPr/>
    </w:lvl>
    <w:lvl w:ilvl="4">
      <w:start w:val="0"/>
      <w:numFmt w:val="bullet"/>
      <w:lvlText w:val="•"/>
      <w:lvlJc w:val="left"/>
      <w:pPr>
        <w:ind w:left="4473" w:hanging="660"/>
      </w:pPr>
      <w:rPr/>
    </w:lvl>
    <w:lvl w:ilvl="5">
      <w:start w:val="0"/>
      <w:numFmt w:val="bullet"/>
      <w:lvlText w:val="•"/>
      <w:lvlJc w:val="left"/>
      <w:pPr>
        <w:ind w:left="5451" w:hanging="660"/>
      </w:pPr>
      <w:rPr/>
    </w:lvl>
    <w:lvl w:ilvl="6">
      <w:start w:val="0"/>
      <w:numFmt w:val="bullet"/>
      <w:lvlText w:val="•"/>
      <w:lvlJc w:val="left"/>
      <w:pPr>
        <w:ind w:left="6428" w:hanging="660"/>
      </w:pPr>
      <w:rPr/>
    </w:lvl>
    <w:lvl w:ilvl="7">
      <w:start w:val="0"/>
      <w:numFmt w:val="bullet"/>
      <w:lvlText w:val="•"/>
      <w:lvlJc w:val="left"/>
      <w:pPr>
        <w:ind w:left="7406" w:hanging="660"/>
      </w:pPr>
      <w:rPr/>
    </w:lvl>
    <w:lvl w:ilvl="8">
      <w:start w:val="0"/>
      <w:numFmt w:val="bullet"/>
      <w:lvlText w:val="•"/>
      <w:lvlJc w:val="left"/>
      <w:pPr>
        <w:ind w:left="8384" w:hanging="6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3284" w:right="3224"/>
      <w:jc w:val="center"/>
    </w:pPr>
    <w:rPr>
      <w:rFonts w:ascii="Arial" w:cs="Arial" w:eastAsia="Arial" w:hAnsi="Arial"/>
      <w:b w:val="1"/>
      <w:sz w:val="28"/>
      <w:szCs w:val="28"/>
    </w:rPr>
  </w:style>
  <w:style w:type="paragraph" w:styleId="Heading2">
    <w:name w:val="heading 2"/>
    <w:basedOn w:val="Normal"/>
    <w:next w:val="Normal"/>
    <w:pPr>
      <w:ind w:left="693" w:hanging="534"/>
    </w:pPr>
    <w:rPr>
      <w:rFonts w:ascii="Arial" w:cs="Arial" w:eastAsia="Arial" w:hAnsi="Arial"/>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en-US"/>
    </w:rPr>
  </w:style>
  <w:style w:type="paragraph" w:styleId="TOC1">
    <w:name w:val="TOC 1"/>
    <w:basedOn w:val="Normal"/>
    <w:uiPriority w:val="1"/>
    <w:qFormat w:val="1"/>
    <w:pPr>
      <w:spacing w:before="90"/>
      <w:ind w:left="520"/>
    </w:pPr>
    <w:rPr>
      <w:rFonts w:ascii="Times New Roman" w:cs="Times New Roman" w:eastAsia="Times New Roman" w:hAnsi="Times New Roman"/>
      <w:b w:val="1"/>
      <w:bCs w:val="1"/>
      <w:sz w:val="24"/>
      <w:szCs w:val="24"/>
      <w:lang w:bidi="ar-SA" w:eastAsia="en-US" w:val="en-US"/>
    </w:rPr>
  </w:style>
  <w:style w:type="paragraph" w:styleId="TOC2">
    <w:name w:val="TOC 2"/>
    <w:basedOn w:val="Normal"/>
    <w:uiPriority w:val="1"/>
    <w:qFormat w:val="1"/>
    <w:pPr>
      <w:spacing w:before="129"/>
      <w:ind w:left="1360" w:hanging="480"/>
    </w:pPr>
    <w:rPr>
      <w:rFonts w:ascii="Times New Roman" w:cs="Times New Roman" w:eastAsia="Times New Roman" w:hAnsi="Times New Roman"/>
      <w:sz w:val="24"/>
      <w:szCs w:val="24"/>
      <w:lang w:bidi="ar-SA" w:eastAsia="en-US" w:val="en-US"/>
    </w:rPr>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Heading1">
    <w:name w:val="Heading 1"/>
    <w:basedOn w:val="Normal"/>
    <w:uiPriority w:val="1"/>
    <w:qFormat w:val="1"/>
    <w:pPr>
      <w:ind w:left="3284" w:right="3224"/>
      <w:jc w:val="center"/>
      <w:outlineLvl w:val="1"/>
    </w:pPr>
    <w:rPr>
      <w:rFonts w:ascii="Arial" w:cs="Arial" w:eastAsia="Arial" w:hAnsi="Arial"/>
      <w:b w:val="1"/>
      <w:bCs w:val="1"/>
      <w:sz w:val="28"/>
      <w:szCs w:val="28"/>
      <w:lang w:bidi="ar-SA" w:eastAsia="en-US" w:val="en-US"/>
    </w:rPr>
  </w:style>
  <w:style w:type="paragraph" w:styleId="Heading2">
    <w:name w:val="Heading 2"/>
    <w:basedOn w:val="Normal"/>
    <w:uiPriority w:val="1"/>
    <w:qFormat w:val="1"/>
    <w:pPr>
      <w:ind w:left="693" w:hanging="534"/>
      <w:outlineLvl w:val="2"/>
    </w:pPr>
    <w:rPr>
      <w:rFonts w:ascii="Arial" w:cs="Arial" w:eastAsia="Arial" w:hAnsi="Arial"/>
      <w:b w:val="1"/>
      <w:bCs w:val="1"/>
      <w:sz w:val="24"/>
      <w:szCs w:val="24"/>
      <w:lang w:bidi="ar-SA" w:eastAsia="en-US" w:val="en-US"/>
    </w:rPr>
  </w:style>
  <w:style w:type="paragraph" w:styleId="ListParagraph">
    <w:name w:val="List Paragraph"/>
    <w:basedOn w:val="Normal"/>
    <w:uiPriority w:val="1"/>
    <w:qFormat w:val="1"/>
    <w:pPr>
      <w:spacing w:before="9"/>
      <w:ind w:left="1960"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rFonts w:ascii="Arial" w:cs="Arial" w:eastAsia="Arial" w:hAnsi="Arial"/>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qA+WtClkx2zL3whwkC+V1tCwog==">AMUW2mUQIt+7UhzcnqFmYqaPajV6MPO8cBbOYBhjQvpTVFp8vipNnmsoNl454Pc9gpLSBYz2ILasC6aO9AzcDrJeVqBBZZI8GQcft3p4V/2GP0T5WMi8i7sX3udlmKq2wcvHqedM9fq05fieqs1mkkItWksraAvV2ZfnYvPv3aHsgbKH+XrlQPRlsMhA7Qqo6R7Dp6JblV71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2022-08-31T16:08:52Z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m93 Google Docs Renderer</vt:lpwstr>
  </property>
</Properties>
</file>