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480" w:line="240" w:lineRule="auto"/>
        <w:jc w:val="center"/>
        <w:rPr>
          <w:rFonts w:ascii="Times New Roman" w:cs="Times New Roman" w:eastAsia="Times New Roman" w:hAnsi="Times New Roman"/>
          <w:b w:val="1"/>
          <w:color w:val="335b8a"/>
          <w:sz w:val="28"/>
          <w:szCs w:val="28"/>
        </w:rPr>
      </w:pPr>
      <w:r w:rsidDel="00000000" w:rsidR="00000000" w:rsidRPr="00000000">
        <w:rPr>
          <w:rFonts w:ascii="Times New Roman" w:cs="Times New Roman" w:eastAsia="Times New Roman" w:hAnsi="Times New Roman"/>
          <w:b w:val="1"/>
          <w:color w:val="335b8a"/>
          <w:sz w:val="28"/>
          <w:szCs w:val="28"/>
          <w:rtl w:val="0"/>
        </w:rPr>
        <w:t xml:space="preserve">{Org_Logo}</w:t>
      </w:r>
    </w:p>
    <w:p w:rsidR="00000000" w:rsidDel="00000000" w:rsidP="00000000" w:rsidRDefault="00000000" w:rsidRPr="00000000" w14:paraId="00000002">
      <w:pPr>
        <w:spacing w:after="240" w:before="480" w:line="240" w:lineRule="auto"/>
        <w:jc w:val="center"/>
        <w:rPr>
          <w:rFonts w:ascii="Times New Roman" w:cs="Times New Roman" w:eastAsia="Times New Roman" w:hAnsi="Times New Roman"/>
          <w:b w:val="1"/>
          <w:color w:val="335b8a"/>
          <w:sz w:val="28"/>
          <w:szCs w:val="28"/>
        </w:rPr>
      </w:pPr>
      <w:r w:rsidDel="00000000" w:rsidR="00000000" w:rsidRPr="00000000">
        <w:rPr>
          <w:rFonts w:ascii="Times New Roman" w:cs="Times New Roman" w:eastAsia="Times New Roman" w:hAnsi="Times New Roman"/>
          <w:b w:val="1"/>
          <w:color w:val="335b8a"/>
          <w:sz w:val="28"/>
          <w:szCs w:val="28"/>
          <w:rtl w:val="0"/>
        </w:rPr>
        <w:t xml:space="preserve">Availability Policy</w:t>
      </w:r>
    </w:p>
    <w:p w:rsidR="00000000" w:rsidDel="00000000" w:rsidP="00000000" w:rsidRDefault="00000000" w:rsidRPr="00000000" w14:paraId="00000003">
      <w:pPr>
        <w:spacing w:after="20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{Org_Name}</w:t>
      </w:r>
    </w:p>
    <w:p w:rsidR="00000000" w:rsidDel="00000000" w:rsidP="00000000" w:rsidRDefault="00000000" w:rsidRPr="00000000" w14:paraId="00000004">
      <w:pPr>
        <w:spacing w:after="20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{Date_Code} </w:t>
      </w:r>
    </w:p>
    <w:p w:rsidR="00000000" w:rsidDel="00000000" w:rsidP="00000000" w:rsidRDefault="00000000" w:rsidRPr="00000000" w14:paraId="00000005">
      <w:pPr>
        <w:spacing w:after="240" w:before="0" w:line="240" w:lineRule="auto"/>
        <w:rPr>
          <w:rFonts w:ascii="Times New Roman" w:cs="Times New Roman" w:eastAsia="Times New Roman" w:hAnsi="Times New Roman"/>
          <w:sz w:val="24"/>
          <w:szCs w:val="24"/>
        </w:rPr>
      </w:pPr>
      <w:r w:rsidDel="00000000" w:rsidR="00000000" w:rsidRPr="00000000">
        <w:rPr>
          <w:rtl w:val="0"/>
        </w:rPr>
      </w:r>
    </w:p>
    <w:tbl>
      <w:tblPr>
        <w:tblStyle w:val="Table1"/>
        <w:tblW w:w="9344.0" w:type="dxa"/>
        <w:jc w:val="left"/>
        <w:tblLayout w:type="fixed"/>
        <w:tblLook w:val="0600"/>
      </w:tblPr>
      <w:tblGrid>
        <w:gridCol w:w="2220"/>
        <w:gridCol w:w="7124"/>
        <w:tblGridChange w:id="0">
          <w:tblGrid>
            <w:gridCol w:w="2220"/>
            <w:gridCol w:w="7124"/>
          </w:tblGrid>
        </w:tblGridChange>
      </w:tblGrid>
      <w:tr>
        <w:trPr>
          <w:cantSplit w:val="0"/>
          <w:trHeight w:val="420" w:hRule="atLeast"/>
          <w:tblHeader w:val="0"/>
        </w:trPr>
        <w:tc>
          <w:tcPr>
            <w:tcBorders>
              <w:top w:color="878787" w:space="0" w:sz="10" w:val="single"/>
              <w:left w:color="878787" w:space="0" w:sz="10" w:val="single"/>
              <w:bottom w:color="878787" w:space="0" w:sz="10" w:val="single"/>
              <w:right w:color="878787" w:space="0" w:sz="10" w:val="single"/>
            </w:tcBorders>
          </w:tcPr>
          <w:p w:rsidR="00000000" w:rsidDel="00000000" w:rsidP="00000000" w:rsidRDefault="00000000" w:rsidRPr="00000000" w14:paraId="00000006">
            <w:pPr>
              <w:widowControl w:val="0"/>
              <w:spacing w:after="0" w:before="100" w:line="240" w:lineRule="auto"/>
              <w:ind w:left="30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ISMS No.</w:t>
            </w:r>
          </w:p>
        </w:tc>
        <w:tc>
          <w:tcPr>
            <w:tcBorders>
              <w:top w:color="878787" w:space="0" w:sz="10" w:val="single"/>
              <w:bottom w:color="878787" w:space="0" w:sz="10" w:val="single"/>
              <w:right w:color="878787" w:space="0" w:sz="10" w:val="single"/>
            </w:tcBorders>
          </w:tcPr>
          <w:p w:rsidR="00000000" w:rsidDel="00000000" w:rsidP="00000000" w:rsidRDefault="00000000" w:rsidRPr="00000000" w14:paraId="00000007">
            <w:pPr>
              <w:widowControl w:val="0"/>
              <w:spacing w:after="0" w:before="100" w:line="240"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POL-04</w:t>
            </w:r>
          </w:p>
        </w:tc>
      </w:tr>
      <w:tr>
        <w:trPr>
          <w:cantSplit w:val="0"/>
          <w:trHeight w:val="450" w:hRule="atLeast"/>
          <w:tblHeader w:val="0"/>
        </w:trPr>
        <w:tc>
          <w:tcPr>
            <w:tcBorders>
              <w:left w:color="878787" w:space="0" w:sz="10" w:val="single"/>
              <w:bottom w:color="878787" w:space="0" w:sz="10" w:val="single"/>
              <w:right w:color="878787" w:space="0" w:sz="10" w:val="single"/>
            </w:tcBorders>
          </w:tcPr>
          <w:p w:rsidR="00000000" w:rsidDel="00000000" w:rsidP="00000000" w:rsidRDefault="00000000" w:rsidRPr="00000000" w14:paraId="00000008">
            <w:pPr>
              <w:widowControl w:val="0"/>
              <w:spacing w:after="0" w:before="100" w:line="240" w:lineRule="auto"/>
              <w:ind w:left="30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w:t>
            </w:r>
          </w:p>
        </w:tc>
        <w:tc>
          <w:tcPr>
            <w:tcBorders>
              <w:bottom w:color="878787" w:space="0" w:sz="10" w:val="single"/>
              <w:right w:color="878787" w:space="0" w:sz="10" w:val="single"/>
            </w:tcBorders>
          </w:tcPr>
          <w:p w:rsidR="00000000" w:rsidDel="00000000" w:rsidP="00000000" w:rsidRDefault="00000000" w:rsidRPr="00000000" w14:paraId="00000009">
            <w:pPr>
              <w:widowControl w:val="0"/>
              <w:spacing w:after="240" w:before="100" w:line="24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Availability Policy</w:t>
            </w:r>
          </w:p>
        </w:tc>
      </w:tr>
      <w:tr>
        <w:trPr>
          <w:cantSplit w:val="0"/>
          <w:trHeight w:val="420" w:hRule="atLeast"/>
          <w:tblHeader w:val="0"/>
        </w:trPr>
        <w:tc>
          <w:tcPr>
            <w:tcBorders>
              <w:left w:color="878787" w:space="0" w:sz="10" w:val="single"/>
              <w:bottom w:color="878787" w:space="0" w:sz="10" w:val="single"/>
              <w:right w:color="878787" w:space="0" w:sz="10" w:val="single"/>
            </w:tcBorders>
          </w:tcPr>
          <w:p w:rsidR="00000000" w:rsidDel="00000000" w:rsidP="00000000" w:rsidRDefault="00000000" w:rsidRPr="00000000" w14:paraId="0000000A">
            <w:pPr>
              <w:widowControl w:val="0"/>
              <w:spacing w:after="0" w:before="100" w:line="240" w:lineRule="auto"/>
              <w:ind w:left="30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Revision</w:t>
            </w:r>
          </w:p>
        </w:tc>
        <w:tc>
          <w:tcPr>
            <w:tcBorders>
              <w:bottom w:color="878787" w:space="0" w:sz="10" w:val="single"/>
              <w:right w:color="878787" w:space="0" w:sz="10" w:val="single"/>
            </w:tcBorders>
          </w:tcPr>
          <w:p w:rsidR="00000000" w:rsidDel="00000000" w:rsidP="00000000" w:rsidRDefault="00000000" w:rsidRPr="00000000" w14:paraId="0000000B">
            <w:pPr>
              <w:widowControl w:val="0"/>
              <w:spacing w:after="0" w:before="100" w:line="240"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20" w:hRule="atLeast"/>
          <w:tblHeader w:val="0"/>
        </w:trPr>
        <w:tc>
          <w:tcPr>
            <w:tcBorders>
              <w:left w:color="878787" w:space="0" w:sz="10" w:val="single"/>
              <w:bottom w:color="878787" w:space="0" w:sz="10" w:val="single"/>
              <w:right w:color="878787" w:space="0" w:sz="10" w:val="single"/>
            </w:tcBorders>
          </w:tcPr>
          <w:p w:rsidR="00000000" w:rsidDel="00000000" w:rsidP="00000000" w:rsidRDefault="00000000" w:rsidRPr="00000000" w14:paraId="0000000C">
            <w:pPr>
              <w:widowControl w:val="0"/>
              <w:spacing w:after="0" w:before="100" w:line="240" w:lineRule="auto"/>
              <w:ind w:left="30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Effective Date</w:t>
            </w:r>
          </w:p>
        </w:tc>
        <w:tc>
          <w:tcPr>
            <w:tcBorders>
              <w:bottom w:color="878787" w:space="0" w:sz="10" w:val="single"/>
              <w:right w:color="878787" w:space="0" w:sz="10" w:val="single"/>
            </w:tcBorders>
          </w:tcPr>
          <w:p w:rsidR="00000000" w:rsidDel="00000000" w:rsidP="00000000" w:rsidRDefault="00000000" w:rsidRPr="00000000" w14:paraId="0000000D">
            <w:pPr>
              <w:widowControl w:val="0"/>
              <w:spacing w:after="0" w:before="100" w:line="240"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0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spacing w:after="24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
        <w:tblW w:w="9345.0" w:type="dxa"/>
        <w:jc w:val="left"/>
        <w:tblLayout w:type="fixed"/>
        <w:tblLook w:val="0600"/>
      </w:tblPr>
      <w:tblGrid>
        <w:gridCol w:w="1274"/>
        <w:gridCol w:w="1770"/>
        <w:gridCol w:w="1861"/>
        <w:gridCol w:w="1619"/>
        <w:gridCol w:w="2821"/>
        <w:tblGridChange w:id="0">
          <w:tblGrid>
            <w:gridCol w:w="1274"/>
            <w:gridCol w:w="1770"/>
            <w:gridCol w:w="1861"/>
            <w:gridCol w:w="1619"/>
            <w:gridCol w:w="2821"/>
          </w:tblGrid>
        </w:tblGridChange>
      </w:tblGrid>
      <w:tr>
        <w:trPr>
          <w:cantSplit w:val="0"/>
          <w:trHeight w:val="795" w:hRule="atLeast"/>
          <w:tblHeader w:val="0"/>
        </w:trPr>
        <w:tc>
          <w:tcPr>
            <w:tcBorders>
              <w:top w:color="878787" w:space="0" w:sz="10" w:val="single"/>
              <w:left w:color="878787" w:space="0" w:sz="10" w:val="single"/>
              <w:bottom w:color="878787" w:space="0" w:sz="10" w:val="single"/>
              <w:right w:color="878787" w:space="0" w:sz="10" w:val="single"/>
            </w:tcBorders>
          </w:tcPr>
          <w:p w:rsidR="00000000" w:rsidDel="00000000" w:rsidP="00000000" w:rsidRDefault="00000000" w:rsidRPr="00000000" w14:paraId="00000010">
            <w:pPr>
              <w:widowControl w:val="0"/>
              <w:spacing w:after="0" w:before="120" w:line="242"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Revision No.</w:t>
            </w:r>
          </w:p>
        </w:tc>
        <w:tc>
          <w:tcPr>
            <w:tcBorders>
              <w:top w:color="878787" w:space="0" w:sz="10" w:val="single"/>
              <w:bottom w:color="878787" w:space="0" w:sz="10" w:val="single"/>
              <w:right w:color="878787" w:space="0" w:sz="10" w:val="single"/>
            </w:tcBorders>
          </w:tcPr>
          <w:p w:rsidR="00000000" w:rsidDel="00000000" w:rsidP="00000000" w:rsidRDefault="00000000" w:rsidRPr="00000000" w14:paraId="00000011">
            <w:pPr>
              <w:widowControl w:val="0"/>
              <w:spacing w:after="0" w:before="120" w:line="240" w:lineRule="auto"/>
              <w:ind w:left="3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Revision Date</w:t>
            </w:r>
          </w:p>
        </w:tc>
        <w:tc>
          <w:tcPr>
            <w:tcBorders>
              <w:top w:color="878787" w:space="0" w:sz="10" w:val="single"/>
              <w:bottom w:color="878787" w:space="0" w:sz="10" w:val="single"/>
              <w:right w:color="878787" w:space="0" w:sz="10" w:val="single"/>
            </w:tcBorders>
          </w:tcPr>
          <w:p w:rsidR="00000000" w:rsidDel="00000000" w:rsidP="00000000" w:rsidRDefault="00000000" w:rsidRPr="00000000" w14:paraId="00000012">
            <w:pPr>
              <w:widowControl w:val="0"/>
              <w:spacing w:after="0" w:before="120" w:line="240" w:lineRule="auto"/>
              <w:ind w:left="4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Reviewed by</w:t>
            </w:r>
          </w:p>
        </w:tc>
        <w:tc>
          <w:tcPr>
            <w:tcBorders>
              <w:top w:color="878787" w:space="0" w:sz="10" w:val="single"/>
              <w:bottom w:color="878787" w:space="0" w:sz="10" w:val="single"/>
              <w:right w:color="878787" w:space="0" w:sz="10" w:val="single"/>
            </w:tcBorders>
          </w:tcPr>
          <w:p w:rsidR="00000000" w:rsidDel="00000000" w:rsidP="00000000" w:rsidRDefault="00000000" w:rsidRPr="00000000" w14:paraId="00000013">
            <w:pPr>
              <w:widowControl w:val="0"/>
              <w:spacing w:after="0" w:before="120" w:line="240" w:lineRule="auto"/>
              <w:ind w:left="30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Approved by</w:t>
            </w:r>
          </w:p>
        </w:tc>
        <w:tc>
          <w:tcPr>
            <w:tcBorders>
              <w:top w:color="878787" w:space="0" w:sz="10" w:val="single"/>
              <w:bottom w:color="878787" w:space="0" w:sz="10" w:val="single"/>
              <w:right w:color="878787" w:space="0" w:sz="10" w:val="single"/>
            </w:tcBorders>
          </w:tcPr>
          <w:p w:rsidR="00000000" w:rsidDel="00000000" w:rsidP="00000000" w:rsidRDefault="00000000" w:rsidRPr="00000000" w14:paraId="00000014">
            <w:pPr>
              <w:widowControl w:val="0"/>
              <w:spacing w:after="0" w:before="120" w:line="240" w:lineRule="auto"/>
              <w:ind w:left="6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Revision Description</w:t>
            </w:r>
          </w:p>
        </w:tc>
      </w:tr>
      <w:tr>
        <w:trPr>
          <w:cantSplit w:val="0"/>
          <w:trHeight w:val="765" w:hRule="atLeast"/>
          <w:tblHeader w:val="0"/>
        </w:trPr>
        <w:tc>
          <w:tcPr>
            <w:tcBorders>
              <w:left w:color="878787" w:space="0" w:sz="10" w:val="single"/>
              <w:bottom w:color="878787" w:space="0" w:sz="10" w:val="single"/>
              <w:right w:color="878787" w:space="0" w:sz="10" w:val="single"/>
            </w:tcBorders>
          </w:tcPr>
          <w:p w:rsidR="00000000" w:rsidDel="00000000" w:rsidP="00000000" w:rsidRDefault="00000000" w:rsidRPr="00000000" w14:paraId="00000015">
            <w:pPr>
              <w:widowControl w:val="0"/>
              <w:spacing w:after="0" w:before="100" w:line="240" w:lineRule="auto"/>
              <w:ind w:left="140" w:righ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bottom w:color="878787" w:space="0" w:sz="10" w:val="single"/>
              <w:right w:color="878787" w:space="0" w:sz="10" w:val="single"/>
            </w:tcBorders>
          </w:tcPr>
          <w:p w:rsidR="00000000" w:rsidDel="00000000" w:rsidP="00000000" w:rsidRDefault="00000000" w:rsidRPr="00000000" w14:paraId="00000016">
            <w:pPr>
              <w:widowControl w:val="0"/>
              <w:spacing w:after="240" w:before="240" w:line="24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bottom w:color="878787" w:space="0" w:sz="10" w:val="single"/>
              <w:right w:color="878787" w:space="0" w:sz="10" w:val="single"/>
            </w:tcBorders>
          </w:tcPr>
          <w:p w:rsidR="00000000" w:rsidDel="00000000" w:rsidP="00000000" w:rsidRDefault="00000000" w:rsidRPr="00000000" w14:paraId="00000017">
            <w:pPr>
              <w:widowControl w:val="0"/>
              <w:spacing w:after="240" w:before="240" w:line="24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bottom w:color="878787" w:space="0" w:sz="10" w:val="single"/>
              <w:right w:color="878787" w:space="0" w:sz="10" w:val="single"/>
            </w:tcBorders>
          </w:tcPr>
          <w:p w:rsidR="00000000" w:rsidDel="00000000" w:rsidP="00000000" w:rsidRDefault="00000000" w:rsidRPr="00000000" w14:paraId="00000018">
            <w:pPr>
              <w:widowControl w:val="0"/>
              <w:spacing w:after="240" w:before="240" w:line="24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bottom w:color="878787" w:space="0" w:sz="10" w:val="single"/>
              <w:right w:color="878787" w:space="0" w:sz="10" w:val="single"/>
            </w:tcBorders>
          </w:tcPr>
          <w:p w:rsidR="00000000" w:rsidDel="00000000" w:rsidP="00000000" w:rsidRDefault="00000000" w:rsidRPr="00000000" w14:paraId="00000019">
            <w:pPr>
              <w:widowControl w:val="0"/>
              <w:spacing w:after="0" w:before="100" w:line="242"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1A">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spacing w:after="240" w:before="4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spacing w:after="20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20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200" w:before="24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Table of Content</w:t>
      </w:r>
    </w:p>
    <w:p w:rsidR="00000000" w:rsidDel="00000000" w:rsidP="00000000" w:rsidRDefault="00000000" w:rsidRPr="00000000" w14:paraId="00000023">
      <w:pPr>
        <w:spacing w:after="20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24">
      <w:pPr>
        <w:spacing w:after="240" w:before="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04.1 Purpose                                                                                                                          4</w:t>
      </w:r>
    </w:p>
    <w:p w:rsidR="00000000" w:rsidDel="00000000" w:rsidP="00000000" w:rsidRDefault="00000000" w:rsidRPr="00000000" w14:paraId="00000025">
      <w:pPr>
        <w:spacing w:after="240" w:before="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04.2 Scope                                                                                                                          </w:t>
        <w:tab/>
        <w:t xml:space="preserve">4</w:t>
      </w:r>
    </w:p>
    <w:p w:rsidR="00000000" w:rsidDel="00000000" w:rsidP="00000000" w:rsidRDefault="00000000" w:rsidRPr="00000000" w14:paraId="00000026">
      <w:pPr>
        <w:spacing w:after="240" w:before="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04.3 Reference                                                                                                                    </w:t>
        <w:tab/>
        <w:t xml:space="preserve">4</w:t>
      </w:r>
    </w:p>
    <w:p w:rsidR="00000000" w:rsidDel="00000000" w:rsidP="00000000" w:rsidRDefault="00000000" w:rsidRPr="00000000" w14:paraId="00000027">
      <w:pPr>
        <w:spacing w:after="240" w:before="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04.4 Policy                                                                                                                          </w:t>
        <w:tab/>
        <w:t xml:space="preserve">4</w:t>
      </w:r>
    </w:p>
    <w:p w:rsidR="00000000" w:rsidDel="00000000" w:rsidP="00000000" w:rsidRDefault="00000000" w:rsidRPr="00000000" w14:paraId="00000028">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E">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F">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4">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5">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spacing w:after="20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20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20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C">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D">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E">
      <w:pPr>
        <w:spacing w:after="200" w:before="24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04.1 Purpose</w:t>
      </w:r>
    </w:p>
    <w:p w:rsidR="00000000" w:rsidDel="00000000" w:rsidP="00000000" w:rsidRDefault="00000000" w:rsidRPr="00000000" w14:paraId="0000003F">
      <w:pPr>
        <w:spacing w:after="240" w:before="16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policy is to define requirements for proper controls to protect the availability of the organization’s information systems.</w:t>
      </w:r>
    </w:p>
    <w:p w:rsidR="00000000" w:rsidDel="00000000" w:rsidP="00000000" w:rsidRDefault="00000000" w:rsidRPr="00000000" w14:paraId="00000040">
      <w:pPr>
        <w:spacing w:after="240" w:before="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1">
      <w:pPr>
        <w:pStyle w:val="Heading1"/>
        <w:keepNext w:val="0"/>
        <w:keepLines w:val="0"/>
        <w:spacing w:after="120" w:before="160" w:line="276" w:lineRule="auto"/>
        <w:jc w:val="both"/>
        <w:rPr>
          <w:rFonts w:ascii="Times New Roman" w:cs="Times New Roman" w:eastAsia="Times New Roman" w:hAnsi="Times New Roman"/>
          <w:b w:val="1"/>
          <w:sz w:val="26"/>
          <w:szCs w:val="26"/>
        </w:rPr>
      </w:pPr>
      <w:bookmarkStart w:colFirst="0" w:colLast="0" w:name="_heading=h.gjdgxs" w:id="0"/>
      <w:bookmarkEnd w:id="0"/>
      <w:r w:rsidDel="00000000" w:rsidR="00000000" w:rsidRPr="00000000">
        <w:rPr>
          <w:rFonts w:ascii="Times New Roman" w:cs="Times New Roman" w:eastAsia="Times New Roman" w:hAnsi="Times New Roman"/>
          <w:b w:val="1"/>
          <w:sz w:val="26"/>
          <w:szCs w:val="26"/>
          <w:rtl w:val="0"/>
        </w:rPr>
        <w:t xml:space="preserve">04.2 Scope</w:t>
      </w:r>
    </w:p>
    <w:p w:rsidR="00000000" w:rsidDel="00000000" w:rsidP="00000000" w:rsidRDefault="00000000" w:rsidRPr="00000000" w14:paraId="00000042">
      <w:pPr>
        <w:spacing w:after="240" w:before="16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policy applies to all users of information systems within the organization. This typically includes employees and contractors, as well as any external parties that come into contact with systems and information controlled by the organization (hereinafter referred to as “users”). This policy must be made readily available to all users.</w:t>
      </w:r>
    </w:p>
    <w:p w:rsidR="00000000" w:rsidDel="00000000" w:rsidP="00000000" w:rsidRDefault="00000000" w:rsidRPr="00000000" w14:paraId="00000043">
      <w:pPr>
        <w:pStyle w:val="Heading1"/>
        <w:keepNext w:val="0"/>
        <w:keepLines w:val="0"/>
        <w:spacing w:after="320" w:before="480" w:line="240" w:lineRule="auto"/>
        <w:rPr>
          <w:rFonts w:ascii="Times New Roman" w:cs="Times New Roman" w:eastAsia="Times New Roman" w:hAnsi="Times New Roman"/>
          <w:b w:val="1"/>
          <w:sz w:val="26"/>
          <w:szCs w:val="26"/>
        </w:rPr>
      </w:pPr>
      <w:bookmarkStart w:colFirst="0" w:colLast="0" w:name="_heading=h.30j0zll" w:id="1"/>
      <w:bookmarkEnd w:id="1"/>
      <w:r w:rsidDel="00000000" w:rsidR="00000000" w:rsidRPr="00000000">
        <w:rPr>
          <w:rFonts w:ascii="Times New Roman" w:cs="Times New Roman" w:eastAsia="Times New Roman" w:hAnsi="Times New Roman"/>
          <w:b w:val="1"/>
          <w:sz w:val="26"/>
          <w:szCs w:val="26"/>
          <w:rtl w:val="0"/>
        </w:rPr>
        <w:t xml:space="preserve">04.3 Reference</w:t>
      </w:r>
    </w:p>
    <w:p w:rsidR="00000000" w:rsidDel="00000000" w:rsidP="00000000" w:rsidRDefault="00000000" w:rsidRPr="00000000" w14:paraId="00000044">
      <w:pPr>
        <w:numPr>
          <w:ilvl w:val="0"/>
          <w:numId w:val="1"/>
        </w:numPr>
        <w:spacing w:after="240" w:before="160" w:line="276"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Assessment Policy</w:t>
      </w:r>
    </w:p>
    <w:p w:rsidR="00000000" w:rsidDel="00000000" w:rsidP="00000000" w:rsidRDefault="00000000" w:rsidRPr="00000000" w14:paraId="00000045">
      <w:pPr>
        <w:pStyle w:val="Heading1"/>
        <w:keepNext w:val="0"/>
        <w:keepLines w:val="0"/>
        <w:spacing w:after="320" w:before="400" w:line="240" w:lineRule="auto"/>
        <w:rPr>
          <w:rFonts w:ascii="Times New Roman" w:cs="Times New Roman" w:eastAsia="Times New Roman" w:hAnsi="Times New Roman"/>
          <w:b w:val="1"/>
          <w:sz w:val="26"/>
          <w:szCs w:val="26"/>
        </w:rPr>
      </w:pPr>
      <w:bookmarkStart w:colFirst="0" w:colLast="0" w:name="_heading=h.1fob9te" w:id="2"/>
      <w:bookmarkEnd w:id="2"/>
      <w:r w:rsidDel="00000000" w:rsidR="00000000" w:rsidRPr="00000000">
        <w:rPr>
          <w:rFonts w:ascii="Times New Roman" w:cs="Times New Roman" w:eastAsia="Times New Roman" w:hAnsi="Times New Roman"/>
          <w:b w:val="1"/>
          <w:sz w:val="26"/>
          <w:szCs w:val="26"/>
          <w:rtl w:val="0"/>
        </w:rPr>
        <w:t xml:space="preserve">04.4 Policy</w:t>
      </w:r>
    </w:p>
    <w:p w:rsidR="00000000" w:rsidDel="00000000" w:rsidP="00000000" w:rsidRDefault="00000000" w:rsidRPr="00000000" w14:paraId="00000046">
      <w:pPr>
        <w:numPr>
          <w:ilvl w:val="0"/>
          <w:numId w:val="3"/>
        </w:numPr>
        <w:spacing w:after="0" w:before="160"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intent of this policy is to minimize the amount of unexpected or unplanned downtime (also known as outages) of information systems under the organization’s control. This policy prescribes specific measures for the organization that will increase system redundancy, introduce failover mechanisms, and implement monitoring such that outages are prevented as much as possible. Where they cannot be prevented, outages will be quickly detected and remediated.</w:t>
      </w:r>
      <w:r w:rsidDel="00000000" w:rsidR="00000000" w:rsidRPr="00000000">
        <w:rPr>
          <w:rtl w:val="0"/>
        </w:rPr>
      </w:r>
    </w:p>
    <w:p w:rsidR="00000000" w:rsidDel="00000000" w:rsidP="00000000" w:rsidRDefault="00000000" w:rsidRPr="00000000" w14:paraId="00000047">
      <w:pPr>
        <w:numPr>
          <w:ilvl w:val="0"/>
          <w:numId w:val="3"/>
        </w:numPr>
        <w:spacing w:after="0" w:before="0" w:line="276" w:lineRule="auto"/>
        <w:ind w:left="2160" w:right="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Within this policy, availability is defined as a characteristic of information or information systems in which such information or systems can be accessed by authorized entities whenever needed.</w:t>
      </w:r>
      <w:r w:rsidDel="00000000" w:rsidR="00000000" w:rsidRPr="00000000">
        <w:rPr>
          <w:rtl w:val="0"/>
        </w:rPr>
      </w:r>
    </w:p>
    <w:p w:rsidR="00000000" w:rsidDel="00000000" w:rsidP="00000000" w:rsidRDefault="00000000" w:rsidRPr="00000000" w14:paraId="00000048">
      <w:pPr>
        <w:numPr>
          <w:ilvl w:val="0"/>
          <w:numId w:val="3"/>
        </w:numPr>
        <w:spacing w:after="0" w:before="0"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Information systems must be consistently available to conduct and support business operations.</w:t>
      </w:r>
      <w:r w:rsidDel="00000000" w:rsidR="00000000" w:rsidRPr="00000000">
        <w:rPr>
          <w:rtl w:val="0"/>
        </w:rPr>
      </w:r>
    </w:p>
    <w:p w:rsidR="00000000" w:rsidDel="00000000" w:rsidP="00000000" w:rsidRDefault="00000000" w:rsidRPr="00000000" w14:paraId="00000049">
      <w:pPr>
        <w:numPr>
          <w:ilvl w:val="0"/>
          <w:numId w:val="3"/>
        </w:numPr>
        <w:spacing w:after="0" w:before="0"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Information systems must have a defined availability classification, with appropriate controls enabled and incorporated into development and production processes based on this classification.</w:t>
      </w:r>
      <w:r w:rsidDel="00000000" w:rsidR="00000000" w:rsidRPr="00000000">
        <w:rPr>
          <w:rtl w:val="0"/>
        </w:rPr>
      </w:r>
    </w:p>
    <w:p w:rsidR="00000000" w:rsidDel="00000000" w:rsidP="00000000" w:rsidRDefault="00000000" w:rsidRPr="00000000" w14:paraId="0000004A">
      <w:pPr>
        <w:numPr>
          <w:ilvl w:val="0"/>
          <w:numId w:val="3"/>
        </w:numPr>
        <w:spacing w:after="0" w:before="0"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and network failures must be reported promptly to the organization’s lead for Information Technology (IT) or designated IT operations manager.</w:t>
      </w:r>
      <w:r w:rsidDel="00000000" w:rsidR="00000000" w:rsidRPr="00000000">
        <w:rPr>
          <w:rtl w:val="0"/>
        </w:rPr>
      </w:r>
    </w:p>
    <w:p w:rsidR="00000000" w:rsidDel="00000000" w:rsidP="00000000" w:rsidRDefault="00000000" w:rsidRPr="00000000" w14:paraId="0000004B">
      <w:pPr>
        <w:numPr>
          <w:ilvl w:val="0"/>
          <w:numId w:val="3"/>
        </w:numPr>
        <w:spacing w:after="0" w:before="0"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must be notified of scheduled outages (e.g., system maintenance) that require periods of downtime. This notification must specify the date and time of the system maintenance, expected duration, and anticipated system or service resumption time.</w:t>
      </w:r>
      <w:r w:rsidDel="00000000" w:rsidR="00000000" w:rsidRPr="00000000">
        <w:rPr>
          <w:rtl w:val="0"/>
        </w:rPr>
      </w:r>
    </w:p>
    <w:p w:rsidR="00000000" w:rsidDel="00000000" w:rsidP="00000000" w:rsidRDefault="00000000" w:rsidRPr="00000000" w14:paraId="0000004C">
      <w:pPr>
        <w:numPr>
          <w:ilvl w:val="0"/>
          <w:numId w:val="3"/>
        </w:numPr>
        <w:spacing w:after="0" w:before="0"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Prior to production use, each new or significantly modified application must have a completed risk assessment that includes availability risks. Risk assessments must be completed in accordance with the Risk Assessment Policy.</w:t>
      </w:r>
      <w:r w:rsidDel="00000000" w:rsidR="00000000" w:rsidRPr="00000000">
        <w:rPr>
          <w:rtl w:val="0"/>
        </w:rPr>
      </w:r>
    </w:p>
    <w:p w:rsidR="00000000" w:rsidDel="00000000" w:rsidP="00000000" w:rsidRDefault="00000000" w:rsidRPr="00000000" w14:paraId="0000004D">
      <w:pPr>
        <w:numPr>
          <w:ilvl w:val="0"/>
          <w:numId w:val="3"/>
        </w:numPr>
        <w:spacing w:after="0" w:before="0"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Capacity management and load balancing techniques must be used, as deemed necessary, to help minimize the risk and impact of system failures.</w:t>
      </w:r>
      <w:r w:rsidDel="00000000" w:rsidR="00000000" w:rsidRPr="00000000">
        <w:rPr>
          <w:rtl w:val="0"/>
        </w:rPr>
      </w:r>
    </w:p>
    <w:p w:rsidR="00000000" w:rsidDel="00000000" w:rsidP="00000000" w:rsidRDefault="00000000" w:rsidRPr="00000000" w14:paraId="0000004E">
      <w:pPr>
        <w:numPr>
          <w:ilvl w:val="0"/>
          <w:numId w:val="3"/>
        </w:numPr>
        <w:spacing w:after="0" w:before="0"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Information systems must have an appropriate data backup plan that ensures:</w:t>
      </w:r>
      <w:r w:rsidDel="00000000" w:rsidR="00000000" w:rsidRPr="00000000">
        <w:rPr>
          <w:rtl w:val="0"/>
        </w:rPr>
      </w:r>
    </w:p>
    <w:p w:rsidR="00000000" w:rsidDel="00000000" w:rsidP="00000000" w:rsidRDefault="00000000" w:rsidRPr="00000000" w14:paraId="0000004F">
      <w:pPr>
        <w:numPr>
          <w:ilvl w:val="1"/>
          <w:numId w:val="3"/>
        </w:numPr>
        <w:spacing w:after="0" w:before="0" w:line="276" w:lineRule="auto"/>
        <w:ind w:left="28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sensitive data can be restored within a reasonable time period.</w:t>
      </w:r>
      <w:r w:rsidDel="00000000" w:rsidR="00000000" w:rsidRPr="00000000">
        <w:rPr>
          <w:rtl w:val="0"/>
        </w:rPr>
      </w:r>
    </w:p>
    <w:p w:rsidR="00000000" w:rsidDel="00000000" w:rsidP="00000000" w:rsidRDefault="00000000" w:rsidRPr="00000000" w14:paraId="00000050">
      <w:pPr>
        <w:numPr>
          <w:ilvl w:val="1"/>
          <w:numId w:val="3"/>
        </w:numPr>
        <w:spacing w:after="0" w:before="0" w:line="276" w:lineRule="auto"/>
        <w:ind w:left="28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Full backups of critical resources are performed as per the Data Backup and Restore Policy.</w:t>
      </w:r>
      <w:r w:rsidDel="00000000" w:rsidR="00000000" w:rsidRPr="00000000">
        <w:rPr>
          <w:rtl w:val="0"/>
        </w:rPr>
      </w:r>
    </w:p>
    <w:p w:rsidR="00000000" w:rsidDel="00000000" w:rsidP="00000000" w:rsidRDefault="00000000" w:rsidRPr="00000000" w14:paraId="00000051">
      <w:pPr>
        <w:numPr>
          <w:ilvl w:val="1"/>
          <w:numId w:val="3"/>
        </w:numPr>
        <w:spacing w:after="0" w:before="0" w:line="276" w:lineRule="auto"/>
        <w:ind w:left="28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Incremental backups for critical resources are performed on at least a daily basis.</w:t>
      </w:r>
      <w:r w:rsidDel="00000000" w:rsidR="00000000" w:rsidRPr="00000000">
        <w:rPr>
          <w:rtl w:val="0"/>
        </w:rPr>
      </w:r>
    </w:p>
    <w:p w:rsidR="00000000" w:rsidDel="00000000" w:rsidP="00000000" w:rsidRDefault="00000000" w:rsidRPr="00000000" w14:paraId="00000052">
      <w:pPr>
        <w:numPr>
          <w:ilvl w:val="1"/>
          <w:numId w:val="3"/>
        </w:numPr>
        <w:spacing w:after="0" w:before="0" w:line="276" w:lineRule="auto"/>
        <w:ind w:left="28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Backups and associated media are maintained and retained for at least a certain number of years or in accordance with legal and regulatory requirements as per the Data Backup and Restore Policy.</w:t>
      </w:r>
      <w:r w:rsidDel="00000000" w:rsidR="00000000" w:rsidRPr="00000000">
        <w:rPr>
          <w:rtl w:val="0"/>
        </w:rPr>
      </w:r>
    </w:p>
    <w:p w:rsidR="00000000" w:rsidDel="00000000" w:rsidP="00000000" w:rsidRDefault="00000000" w:rsidRPr="00000000" w14:paraId="00000053">
      <w:pPr>
        <w:numPr>
          <w:ilvl w:val="1"/>
          <w:numId w:val="3"/>
        </w:numPr>
        <w:spacing w:after="0" w:before="0" w:line="276" w:lineRule="auto"/>
        <w:ind w:left="28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Backups are stored in cloud storage and protected using passwords.</w:t>
      </w:r>
      <w:r w:rsidDel="00000000" w:rsidR="00000000" w:rsidRPr="00000000">
        <w:rPr>
          <w:rtl w:val="0"/>
        </w:rPr>
      </w:r>
    </w:p>
    <w:p w:rsidR="00000000" w:rsidDel="00000000" w:rsidP="00000000" w:rsidRDefault="00000000" w:rsidRPr="00000000" w14:paraId="00000054">
      <w:pPr>
        <w:numPr>
          <w:ilvl w:val="0"/>
          <w:numId w:val="3"/>
        </w:numPr>
        <w:spacing w:after="0" w:before="0"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Information systems must have an appropriate redundancy and failover plan that meets the following criteria:</w:t>
      </w:r>
      <w:r w:rsidDel="00000000" w:rsidR="00000000" w:rsidRPr="00000000">
        <w:rPr>
          <w:rtl w:val="0"/>
        </w:rPr>
      </w:r>
    </w:p>
    <w:p w:rsidR="00000000" w:rsidDel="00000000" w:rsidP="00000000" w:rsidRDefault="00000000" w:rsidRPr="00000000" w14:paraId="00000055">
      <w:pPr>
        <w:numPr>
          <w:ilvl w:val="1"/>
          <w:numId w:val="3"/>
        </w:numPr>
        <w:spacing w:after="0" w:before="0" w:line="276"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A network infrastructure that supports critical resources must have a system-level    </w:t>
      </w:r>
      <w:r w:rsidDel="00000000" w:rsidR="00000000" w:rsidRPr="00000000">
        <w:rPr>
          <w:rtl w:val="0"/>
        </w:rPr>
      </w:r>
    </w:p>
    <w:p w:rsidR="00000000" w:rsidDel="00000000" w:rsidP="00000000" w:rsidRDefault="00000000" w:rsidRPr="00000000" w14:paraId="00000056">
      <w:pPr>
        <w:spacing w:after="0" w:before="0" w:line="276"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redundancy (including but not limited to a secondary power supply, backup </w:t>
      </w:r>
    </w:p>
    <w:p w:rsidR="00000000" w:rsidDel="00000000" w:rsidP="00000000" w:rsidRDefault="00000000" w:rsidRPr="00000000" w14:paraId="00000057">
      <w:pPr>
        <w:spacing w:after="0" w:before="0" w:line="276"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Disk-array, and secondary computing system). Critical core components (including but not limited to routers, switches, and other devices linked to Service Level Agreements (SLAs)) must have an actively maintained spare. SLAs must require parts replacement within twenty-four (24) hours.</w:t>
      </w:r>
    </w:p>
    <w:p w:rsidR="00000000" w:rsidDel="00000000" w:rsidP="00000000" w:rsidRDefault="00000000" w:rsidRPr="00000000" w14:paraId="00000058">
      <w:pPr>
        <w:numPr>
          <w:ilvl w:val="1"/>
          <w:numId w:val="3"/>
        </w:numPr>
        <w:spacing w:after="0" w:before="0" w:line="276" w:lineRule="auto"/>
        <w:ind w:left="28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Servers that support critical resources must have redundant power supplies and   </w:t>
      </w:r>
      <w:r w:rsidDel="00000000" w:rsidR="00000000" w:rsidRPr="00000000">
        <w:rPr>
          <w:rtl w:val="0"/>
        </w:rPr>
      </w:r>
    </w:p>
    <w:p w:rsidR="00000000" w:rsidDel="00000000" w:rsidP="00000000" w:rsidRDefault="00000000" w:rsidRPr="00000000" w14:paraId="00000059">
      <w:pPr>
        <w:spacing w:after="0" w:before="0" w:line="276"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interface cards. All servers must have an actively maintained spare. SLAs must require parts replacement within twenty- four (24) hours. </w:t>
      </w:r>
    </w:p>
    <w:p w:rsidR="00000000" w:rsidDel="00000000" w:rsidP="00000000" w:rsidRDefault="00000000" w:rsidRPr="00000000" w14:paraId="0000005A">
      <w:pPr>
        <w:numPr>
          <w:ilvl w:val="1"/>
          <w:numId w:val="3"/>
        </w:numPr>
        <w:spacing w:after="0" w:before="0" w:line="276" w:lineRule="auto"/>
        <w:ind w:left="28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Servers classified as high availability must use disk mirroring.</w:t>
      </w:r>
      <w:r w:rsidDel="00000000" w:rsidR="00000000" w:rsidRPr="00000000">
        <w:rPr>
          <w:rtl w:val="0"/>
        </w:rPr>
      </w:r>
    </w:p>
    <w:p w:rsidR="00000000" w:rsidDel="00000000" w:rsidP="00000000" w:rsidRDefault="00000000" w:rsidRPr="00000000" w14:paraId="0000005B">
      <w:pPr>
        <w:numPr>
          <w:ilvl w:val="0"/>
          <w:numId w:val="2"/>
        </w:numPr>
        <w:spacing w:after="0" w:before="0"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Information systems must have an appropriate business continuity plan that meets the following criteria:</w:t>
      </w:r>
      <w:r w:rsidDel="00000000" w:rsidR="00000000" w:rsidRPr="00000000">
        <w:rPr>
          <w:rtl w:val="0"/>
        </w:rPr>
      </w:r>
    </w:p>
    <w:p w:rsidR="00000000" w:rsidDel="00000000" w:rsidP="00000000" w:rsidRDefault="00000000" w:rsidRPr="00000000" w14:paraId="0000005C">
      <w:pPr>
        <w:numPr>
          <w:ilvl w:val="1"/>
          <w:numId w:val="2"/>
        </w:numPr>
        <w:spacing w:after="0" w:before="0" w:line="276" w:lineRule="auto"/>
        <w:ind w:left="28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Recovery time and data loss limits are defined in Table 3.</w:t>
      </w:r>
      <w:r w:rsidDel="00000000" w:rsidR="00000000" w:rsidRPr="00000000">
        <w:rPr>
          <w:rtl w:val="0"/>
        </w:rPr>
      </w:r>
    </w:p>
    <w:p w:rsidR="00000000" w:rsidDel="00000000" w:rsidP="00000000" w:rsidRDefault="00000000" w:rsidRPr="00000000" w14:paraId="0000005D">
      <w:pPr>
        <w:numPr>
          <w:ilvl w:val="1"/>
          <w:numId w:val="2"/>
        </w:numPr>
        <w:spacing w:after="0" w:before="0" w:line="276" w:lineRule="auto"/>
        <w:ind w:left="28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Recovery time requirements and data loss limits must be adhered to</w:t>
      </w:r>
      <w:r w:rsidDel="00000000" w:rsidR="00000000" w:rsidRPr="00000000">
        <w:rPr>
          <w:rtl w:val="0"/>
        </w:rPr>
      </w:r>
    </w:p>
    <w:p w:rsidR="00000000" w:rsidDel="00000000" w:rsidP="00000000" w:rsidRDefault="00000000" w:rsidRPr="00000000" w14:paraId="0000005E">
      <w:pPr>
        <w:numPr>
          <w:ilvl w:val="1"/>
          <w:numId w:val="2"/>
        </w:numPr>
        <w:spacing w:after="0" w:before="0" w:line="276" w:lineRule="auto"/>
        <w:ind w:left="28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with specific documentation in the plan.</w:t>
      </w:r>
      <w:r w:rsidDel="00000000" w:rsidR="00000000" w:rsidRPr="00000000">
        <w:rPr>
          <w:rtl w:val="0"/>
        </w:rPr>
      </w:r>
    </w:p>
    <w:p w:rsidR="00000000" w:rsidDel="00000000" w:rsidP="00000000" w:rsidRDefault="00000000" w:rsidRPr="00000000" w14:paraId="0000005F">
      <w:pPr>
        <w:numPr>
          <w:ilvl w:val="1"/>
          <w:numId w:val="2"/>
        </w:numPr>
        <w:spacing w:after="0" w:before="0" w:line="276" w:lineRule="auto"/>
        <w:ind w:left="28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Company and/or external critical resources, personnel, and necessary</w:t>
      </w:r>
      <w:r w:rsidDel="00000000" w:rsidR="00000000" w:rsidRPr="00000000">
        <w:rPr>
          <w:rtl w:val="0"/>
        </w:rPr>
      </w:r>
    </w:p>
    <w:p w:rsidR="00000000" w:rsidDel="00000000" w:rsidP="00000000" w:rsidRDefault="00000000" w:rsidRPr="00000000" w14:paraId="00000060">
      <w:pPr>
        <w:numPr>
          <w:ilvl w:val="1"/>
          <w:numId w:val="2"/>
        </w:numPr>
        <w:spacing w:after="0" w:before="0" w:line="276" w:lineRule="auto"/>
        <w:ind w:left="28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corrective actions must be specifically identified.</w:t>
      </w:r>
      <w:r w:rsidDel="00000000" w:rsidR="00000000" w:rsidRPr="00000000">
        <w:rPr>
          <w:rtl w:val="0"/>
        </w:rPr>
      </w:r>
    </w:p>
    <w:p w:rsidR="00000000" w:rsidDel="00000000" w:rsidP="00000000" w:rsidRDefault="00000000" w:rsidRPr="00000000" w14:paraId="00000061">
      <w:pPr>
        <w:numPr>
          <w:ilvl w:val="1"/>
          <w:numId w:val="2"/>
        </w:numPr>
        <w:spacing w:after="0" w:before="0" w:line="276" w:lineRule="auto"/>
        <w:ind w:left="28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Specific responsibilities and tasks for responding to emergencies and</w:t>
      </w:r>
      <w:r w:rsidDel="00000000" w:rsidR="00000000" w:rsidRPr="00000000">
        <w:rPr>
          <w:rtl w:val="0"/>
        </w:rPr>
      </w:r>
    </w:p>
    <w:p w:rsidR="00000000" w:rsidDel="00000000" w:rsidP="00000000" w:rsidRDefault="00000000" w:rsidRPr="00000000" w14:paraId="00000062">
      <w:pPr>
        <w:numPr>
          <w:ilvl w:val="1"/>
          <w:numId w:val="2"/>
        </w:numPr>
        <w:spacing w:after="0" w:before="0" w:line="276" w:lineRule="auto"/>
        <w:ind w:left="28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resuming business operations must be included in the plan.</w:t>
      </w:r>
      <w:r w:rsidDel="00000000" w:rsidR="00000000" w:rsidRPr="00000000">
        <w:rPr>
          <w:rtl w:val="0"/>
        </w:rPr>
      </w:r>
    </w:p>
    <w:p w:rsidR="00000000" w:rsidDel="00000000" w:rsidP="00000000" w:rsidRDefault="00000000" w:rsidRPr="00000000" w14:paraId="00000063">
      <w:pPr>
        <w:numPr>
          <w:ilvl w:val="1"/>
          <w:numId w:val="2"/>
        </w:numPr>
        <w:spacing w:after="240" w:before="0" w:line="276" w:lineRule="auto"/>
        <w:ind w:left="28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applicable legal and regulatory requirements must be satisfied.</w:t>
      </w:r>
      <w:r w:rsidDel="00000000" w:rsidR="00000000" w:rsidRPr="00000000">
        <w:rPr>
          <w:rtl w:val="0"/>
        </w:rPr>
      </w:r>
    </w:p>
    <w:p w:rsidR="00000000" w:rsidDel="00000000" w:rsidP="00000000" w:rsidRDefault="00000000" w:rsidRPr="00000000" w14:paraId="00000064">
      <w:pPr>
        <w:spacing w:after="240" w:before="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5">
      <w:pPr>
        <w:spacing w:after="240" w:before="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6">
      <w:pPr>
        <w:spacing w:after="240" w:before="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240" w:before="160" w:line="276" w:lineRule="auto"/>
        <w:jc w:val="both"/>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Layout w:type="fixed"/>
        <w:tblLook w:val="0600"/>
      </w:tblPr>
      <w:tblGrid>
        <w:gridCol w:w="1904"/>
        <w:gridCol w:w="1936"/>
        <w:gridCol w:w="1800"/>
        <w:gridCol w:w="1935"/>
        <w:gridCol w:w="1785"/>
        <w:tblGridChange w:id="0">
          <w:tblGrid>
            <w:gridCol w:w="1904"/>
            <w:gridCol w:w="1936"/>
            <w:gridCol w:w="1800"/>
            <w:gridCol w:w="1935"/>
            <w:gridCol w:w="1785"/>
          </w:tblGrid>
        </w:tblGridChange>
      </w:tblGrid>
      <w:tr>
        <w:trPr>
          <w:cantSplit w:val="0"/>
          <w:trHeight w:val="10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widowControl w:val="0"/>
              <w:spacing w:after="240" w:before="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 Classification</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69">
            <w:pPr>
              <w:widowControl w:val="0"/>
              <w:spacing w:after="240" w:before="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 Requirements</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6A">
            <w:pPr>
              <w:widowControl w:val="0"/>
              <w:spacing w:after="240" w:before="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Scheduled Outage</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6B">
            <w:pPr>
              <w:widowControl w:val="0"/>
              <w:spacing w:after="240" w:before="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Recovery Time Requirements</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6C">
            <w:pPr>
              <w:widowControl w:val="0"/>
              <w:spacing w:after="240" w:before="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Loss or Impact Loss</w:t>
            </w:r>
          </w:p>
        </w:tc>
      </w:tr>
      <w:tr>
        <w:trPr>
          <w:cantSplit w:val="0"/>
          <w:trHeight w:val="765"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06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bottom w:color="000000" w:space="0" w:sz="4" w:val="single"/>
              <w:right w:color="000000" w:space="0" w:sz="4" w:val="single"/>
            </w:tcBorders>
          </w:tcPr>
          <w:p w:rsidR="00000000" w:rsidDel="00000000" w:rsidP="00000000" w:rsidRDefault="00000000" w:rsidRPr="00000000" w14:paraId="0000006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to Continuous</w:t>
            </w:r>
          </w:p>
        </w:tc>
        <w:tc>
          <w:tcPr>
            <w:tcBorders>
              <w:bottom w:color="000000" w:space="0" w:sz="4" w:val="single"/>
              <w:right w:color="000000" w:space="0" w:sz="4" w:val="single"/>
            </w:tcBorders>
          </w:tcPr>
          <w:p w:rsidR="00000000" w:rsidDel="00000000" w:rsidP="00000000" w:rsidRDefault="00000000" w:rsidRPr="00000000" w14:paraId="0000006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minutes</w:t>
            </w:r>
          </w:p>
        </w:tc>
        <w:tc>
          <w:tcPr>
            <w:tcBorders>
              <w:bottom w:color="000000" w:space="0" w:sz="4" w:val="single"/>
              <w:right w:color="000000" w:space="0" w:sz="4" w:val="single"/>
            </w:tcBorders>
          </w:tcPr>
          <w:p w:rsidR="00000000" w:rsidDel="00000000" w:rsidP="00000000" w:rsidRDefault="00000000" w:rsidRPr="00000000" w14:paraId="0000007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hour</w:t>
            </w:r>
          </w:p>
        </w:tc>
        <w:tc>
          <w:tcPr>
            <w:tcBorders>
              <w:bottom w:color="000000" w:space="0" w:sz="4" w:val="single"/>
              <w:right w:color="000000" w:space="0" w:sz="4" w:val="single"/>
            </w:tcBorders>
          </w:tcPr>
          <w:p w:rsidR="00000000" w:rsidDel="00000000" w:rsidP="00000000" w:rsidRDefault="00000000" w:rsidRPr="00000000" w14:paraId="0000007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Minimal</w:t>
            </w:r>
          </w:p>
        </w:tc>
      </w:tr>
      <w:tr>
        <w:trPr>
          <w:cantSplit w:val="0"/>
          <w:trHeight w:val="1590"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07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bottom w:color="000000" w:space="0" w:sz="4" w:val="single"/>
              <w:right w:color="000000" w:space="0" w:sz="4" w:val="single"/>
            </w:tcBorders>
          </w:tcPr>
          <w:p w:rsidR="00000000" w:rsidDel="00000000" w:rsidP="00000000" w:rsidRDefault="00000000" w:rsidRPr="00000000" w14:paraId="0000007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Availability</w:t>
            </w:r>
          </w:p>
        </w:tc>
        <w:tc>
          <w:tcPr>
            <w:tcBorders>
              <w:bottom w:color="000000" w:space="0" w:sz="4" w:val="single"/>
              <w:right w:color="000000" w:space="0" w:sz="4" w:val="single"/>
            </w:tcBorders>
          </w:tcPr>
          <w:p w:rsidR="00000000" w:rsidDel="00000000" w:rsidP="00000000" w:rsidRDefault="00000000" w:rsidRPr="00000000" w14:paraId="0000007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hours</w:t>
            </w:r>
          </w:p>
        </w:tc>
        <w:tc>
          <w:tcPr>
            <w:tcBorders>
              <w:bottom w:color="000000" w:space="0" w:sz="4" w:val="single"/>
              <w:right w:color="000000" w:space="0" w:sz="4" w:val="single"/>
            </w:tcBorders>
          </w:tcPr>
          <w:p w:rsidR="00000000" w:rsidDel="00000000" w:rsidP="00000000" w:rsidRDefault="00000000" w:rsidRPr="00000000" w14:paraId="0000007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hours</w:t>
            </w:r>
          </w:p>
        </w:tc>
        <w:tc>
          <w:tcPr>
            <w:tcBorders>
              <w:bottom w:color="000000" w:space="0" w:sz="4" w:val="single"/>
              <w:right w:color="000000" w:space="0" w:sz="4" w:val="single"/>
            </w:tcBorders>
          </w:tcPr>
          <w:p w:rsidR="00000000" w:rsidDel="00000000" w:rsidP="00000000" w:rsidRDefault="00000000" w:rsidRPr="00000000" w14:paraId="0000007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data loss is tolerated if it results in quicker restoration</w:t>
            </w:r>
          </w:p>
        </w:tc>
      </w:tr>
      <w:tr>
        <w:trPr>
          <w:cantSplit w:val="0"/>
          <w:trHeight w:val="1590"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07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tcBorders>
              <w:bottom w:color="000000" w:space="0" w:sz="4" w:val="single"/>
              <w:right w:color="000000" w:space="0" w:sz="4" w:val="single"/>
            </w:tcBorders>
          </w:tcPr>
          <w:p w:rsidR="00000000" w:rsidDel="00000000" w:rsidP="00000000" w:rsidRDefault="00000000" w:rsidRPr="00000000" w14:paraId="0000007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Availability</w:t>
            </w:r>
          </w:p>
        </w:tc>
        <w:tc>
          <w:tcPr>
            <w:tcBorders>
              <w:bottom w:color="000000" w:space="0" w:sz="4" w:val="single"/>
              <w:right w:color="000000" w:space="0" w:sz="4" w:val="single"/>
            </w:tcBorders>
          </w:tcPr>
          <w:p w:rsidR="00000000" w:rsidDel="00000000" w:rsidP="00000000" w:rsidRDefault="00000000" w:rsidRPr="00000000" w14:paraId="0000007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hours</w:t>
            </w:r>
          </w:p>
        </w:tc>
        <w:tc>
          <w:tcPr>
            <w:tcBorders>
              <w:bottom w:color="000000" w:space="0" w:sz="4" w:val="single"/>
              <w:right w:color="000000" w:space="0" w:sz="4" w:val="single"/>
            </w:tcBorders>
          </w:tcPr>
          <w:p w:rsidR="00000000" w:rsidDel="00000000" w:rsidP="00000000" w:rsidRDefault="00000000" w:rsidRPr="00000000" w14:paraId="0000007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business day</w:t>
            </w:r>
          </w:p>
        </w:tc>
        <w:tc>
          <w:tcPr>
            <w:tcBorders>
              <w:bottom w:color="000000" w:space="0" w:sz="4" w:val="single"/>
              <w:right w:color="000000" w:space="0" w:sz="4" w:val="single"/>
            </w:tcBorders>
          </w:tcPr>
          <w:p w:rsidR="00000000" w:rsidDel="00000000" w:rsidP="00000000" w:rsidRDefault="00000000" w:rsidRPr="00000000" w14:paraId="0000007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data loss is tolerated if it results in quicker restoration</w:t>
            </w:r>
          </w:p>
        </w:tc>
      </w:tr>
    </w:tbl>
    <w:p w:rsidR="00000000" w:rsidDel="00000000" w:rsidP="00000000" w:rsidRDefault="00000000" w:rsidRPr="00000000" w14:paraId="0000007C">
      <w:pPr>
        <w:spacing w:after="240" w:before="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D">
      <w:pPr>
        <w:spacing w:after="240" w:before="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E">
      <w:pPr>
        <w:spacing w:after="240" w:before="160" w:line="276"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 </w:t>
      </w:r>
    </w:p>
    <w:p w:rsidR="00000000" w:rsidDel="00000000" w:rsidP="00000000" w:rsidRDefault="00000000" w:rsidRPr="00000000" w14:paraId="0000007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0">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sectPr>
      <w:headerReference r:id="rId7" w:type="default"/>
      <w:footerReference r:id="rId8" w:type="default"/>
      <w:pgSz w:h="15840" w:w="12240" w:orient="portrait"/>
      <w:pgMar w:bottom="1080" w:top="108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2">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3">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240" w:lineRule="auto"/>
    </w:pPr>
    <w:rPr>
      <w:sz w:val="40"/>
      <w:szCs w:val="40"/>
    </w:rPr>
  </w:style>
  <w:style w:type="paragraph" w:styleId="Heading2">
    <w:name w:val="heading 2"/>
    <w:basedOn w:val="Normal"/>
    <w:next w:val="Normal"/>
    <w:pPr>
      <w:keepNext w:val="1"/>
      <w:keepLines w:val="1"/>
      <w:pageBreakBefore w:val="0"/>
      <w:spacing w:after="120" w:before="360" w:line="240" w:lineRule="auto"/>
    </w:pPr>
    <w:rPr>
      <w:b w:val="0"/>
      <w:sz w:val="32"/>
      <w:szCs w:val="32"/>
    </w:rPr>
  </w:style>
  <w:style w:type="paragraph" w:styleId="Heading3">
    <w:name w:val="heading 3"/>
    <w:basedOn w:val="Normal"/>
    <w:next w:val="Normal"/>
    <w:pPr>
      <w:keepNext w:val="1"/>
      <w:keepLines w:val="1"/>
      <w:pageBreakBefore w:val="0"/>
      <w:spacing w:after="80" w:before="320" w:line="24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color w:val="666666"/>
      <w:sz w:val="22"/>
      <w:szCs w:val="22"/>
    </w:rPr>
  </w:style>
  <w:style w:type="paragraph" w:styleId="Title">
    <w:name w:val="Title"/>
    <w:basedOn w:val="Normal"/>
    <w:next w:val="Normal"/>
    <w:pPr>
      <w:keepNext w:val="1"/>
      <w:keepLines w:val="1"/>
      <w:pageBreakBefore w:val="0"/>
      <w:spacing w:after="60" w:before="0" w:line="240" w:lineRule="auto"/>
    </w:pPr>
    <w:rPr>
      <w:sz w:val="52"/>
      <w:szCs w:val="52"/>
    </w:rPr>
  </w:style>
  <w:style w:type="paragraph" w:styleId="Normal">
    <w:name w:val="Normal"/>
    <w:qFormat w:val="1"/>
    <w:pPr>
      <w:widowControl w:val="1"/>
      <w:bidi w:val="0"/>
      <w:spacing w:after="0" w:before="0" w:line="276" w:lineRule="auto"/>
      <w:jc w:val="left"/>
    </w:pPr>
    <w:rPr>
      <w:rFonts w:ascii="Arial" w:cs="Arial" w:eastAsia="Arial" w:hAnsi="Arial"/>
      <w:color w:val="auto"/>
      <w:kern w:val="0"/>
      <w:sz w:val="22"/>
      <w:szCs w:val="22"/>
      <w:lang w:bidi="hi-IN" w:eastAsia="zh-CN" w:val="en-US"/>
    </w:rPr>
  </w:style>
  <w:style w:type="paragraph" w:styleId="Heading1">
    <w:name w:val="Heading 1"/>
    <w:basedOn w:val="Normal1"/>
    <w:next w:val="Normal1"/>
    <w:qFormat w:val="1"/>
    <w:pPr>
      <w:keepNext w:val="1"/>
      <w:keepLines w:val="1"/>
      <w:pageBreakBefore w:val="0"/>
      <w:spacing w:after="120" w:before="400" w:line="240" w:lineRule="auto"/>
    </w:pPr>
    <w:rPr>
      <w:sz w:val="40"/>
      <w:szCs w:val="40"/>
    </w:rPr>
  </w:style>
  <w:style w:type="paragraph" w:styleId="Heading2">
    <w:name w:val="Heading 2"/>
    <w:basedOn w:val="Normal1"/>
    <w:next w:val="Normal1"/>
    <w:qFormat w:val="1"/>
    <w:pPr>
      <w:keepNext w:val="1"/>
      <w:keepLines w:val="1"/>
      <w:pageBreakBefore w:val="0"/>
      <w:spacing w:after="120" w:before="360" w:line="240" w:lineRule="auto"/>
    </w:pPr>
    <w:rPr>
      <w:b w:val="0"/>
      <w:sz w:val="32"/>
      <w:szCs w:val="32"/>
    </w:rPr>
  </w:style>
  <w:style w:type="paragraph" w:styleId="Heading3">
    <w:name w:val="Heading 3"/>
    <w:basedOn w:val="Normal1"/>
    <w:next w:val="Normal1"/>
    <w:qFormat w:val="1"/>
    <w:pPr>
      <w:keepNext w:val="1"/>
      <w:keepLines w:val="1"/>
      <w:pageBreakBefore w:val="0"/>
      <w:spacing w:after="80" w:before="320" w:line="240" w:lineRule="auto"/>
    </w:pPr>
    <w:rPr>
      <w:b w:val="0"/>
      <w:color w:val="434343"/>
      <w:sz w:val="28"/>
      <w:szCs w:val="28"/>
    </w:rPr>
  </w:style>
  <w:style w:type="paragraph" w:styleId="Heading4">
    <w:name w:val="Heading 4"/>
    <w:basedOn w:val="Normal1"/>
    <w:next w:val="Normal1"/>
    <w:qFormat w:val="1"/>
    <w:pPr>
      <w:keepNext w:val="1"/>
      <w:keepLines w:val="1"/>
      <w:pageBreakBefore w:val="0"/>
      <w:spacing w:after="80" w:before="280" w:line="240" w:lineRule="auto"/>
    </w:pPr>
    <w:rPr>
      <w:color w:val="666666"/>
      <w:sz w:val="24"/>
      <w:szCs w:val="24"/>
    </w:rPr>
  </w:style>
  <w:style w:type="paragraph" w:styleId="Heading5">
    <w:name w:val="Heading 5"/>
    <w:basedOn w:val="Normal1"/>
    <w:next w:val="Normal1"/>
    <w:qFormat w:val="1"/>
    <w:pPr>
      <w:keepNext w:val="1"/>
      <w:keepLines w:val="1"/>
      <w:pageBreakBefore w:val="0"/>
      <w:spacing w:after="80" w:before="240" w:line="240" w:lineRule="auto"/>
    </w:pPr>
    <w:rPr>
      <w:color w:val="666666"/>
      <w:sz w:val="22"/>
      <w:szCs w:val="22"/>
    </w:rPr>
  </w:style>
  <w:style w:type="paragraph" w:styleId="Heading6">
    <w:name w:val="Heading 6"/>
    <w:basedOn w:val="Normal1"/>
    <w:next w:val="Normal1"/>
    <w:qFormat w:val="1"/>
    <w:pPr>
      <w:keepNext w:val="1"/>
      <w:keepLines w:val="1"/>
      <w:pageBreakBefore w:val="0"/>
      <w:spacing w:after="80" w:before="240" w:line="240" w:lineRule="auto"/>
    </w:pPr>
    <w:rPr>
      <w:i w:val="1"/>
      <w:color w:val="666666"/>
      <w:sz w:val="22"/>
      <w:szCs w:val="22"/>
    </w:rPr>
  </w:style>
  <w:style w:type="paragraph" w:styleId="Heading">
    <w:name w:val="Heading"/>
    <w:basedOn w:val="Normal"/>
    <w:next w:val="TextBody"/>
    <w:qFormat w:val="1"/>
    <w:pPr>
      <w:keepNext w:val="1"/>
      <w:spacing w:after="120" w:before="240"/>
    </w:pPr>
    <w:rPr>
      <w:rFonts w:ascii="Liberation Sans" w:cs="Lohit Devanagari" w:eastAsia="Noto Sans CJK SC" w:hAnsi="Liberation Sans"/>
      <w:sz w:val="28"/>
      <w:szCs w:val="28"/>
    </w:rPr>
  </w:style>
  <w:style w:type="paragraph" w:styleId="TextBody">
    <w:name w:val="Body Text"/>
    <w:basedOn w:val="Normal"/>
    <w:pPr>
      <w:spacing w:after="140" w:before="0" w:line="276" w:lineRule="auto"/>
    </w:pPr>
    <w:rPr/>
  </w:style>
  <w:style w:type="paragraph" w:styleId="List">
    <w:name w:val="List"/>
    <w:basedOn w:val="TextBody"/>
    <w:pPr/>
    <w:rPr>
      <w:rFonts w:cs="Lohit Devanagari"/>
    </w:rPr>
  </w:style>
  <w:style w:type="paragraph" w:styleId="Caption">
    <w:name w:val="Caption"/>
    <w:basedOn w:val="Normal"/>
    <w:qFormat w:val="1"/>
    <w:pPr>
      <w:suppressLineNumbers w:val="1"/>
      <w:spacing w:after="120" w:before="120"/>
    </w:pPr>
    <w:rPr>
      <w:rFonts w:cs="Lohit Devanagari"/>
      <w:i w:val="1"/>
      <w:iCs w:val="1"/>
      <w:sz w:val="24"/>
      <w:szCs w:val="24"/>
    </w:rPr>
  </w:style>
  <w:style w:type="paragraph" w:styleId="Index">
    <w:name w:val="Index"/>
    <w:basedOn w:val="Normal"/>
    <w:qFormat w:val="1"/>
    <w:pPr>
      <w:suppressLineNumbers w:val="1"/>
    </w:pPr>
    <w:rPr>
      <w:rFonts w:cs="Lohit Devanagari"/>
    </w:rPr>
  </w:style>
  <w:style w:type="paragraph" w:styleId="Normal1" w:default="1">
    <w:name w:val="LO-normal"/>
    <w:qFormat w:val="1"/>
    <w:pPr>
      <w:widowControl w:val="1"/>
      <w:bidi w:val="0"/>
      <w:spacing w:after="0" w:before="0" w:line="276" w:lineRule="auto"/>
      <w:jc w:val="left"/>
    </w:pPr>
    <w:rPr>
      <w:rFonts w:ascii="Arial" w:cs="Arial" w:eastAsia="Arial" w:hAnsi="Arial"/>
      <w:color w:val="auto"/>
      <w:kern w:val="0"/>
      <w:sz w:val="22"/>
      <w:szCs w:val="22"/>
      <w:lang w:bidi="hi-IN" w:eastAsia="zh-CN" w:val="en-US"/>
    </w:rPr>
  </w:style>
  <w:style w:type="paragraph" w:styleId="Title">
    <w:name w:val="Title"/>
    <w:basedOn w:val="Normal1"/>
    <w:next w:val="Normal1"/>
    <w:qFormat w:val="1"/>
    <w:pPr>
      <w:keepNext w:val="1"/>
      <w:keepLines w:val="1"/>
      <w:pageBreakBefore w:val="0"/>
      <w:spacing w:after="60" w:before="0" w:line="240" w:lineRule="auto"/>
    </w:pPr>
    <w:rPr>
      <w:sz w:val="52"/>
      <w:szCs w:val="52"/>
    </w:rPr>
  </w:style>
  <w:style w:type="paragraph" w:styleId="Subtitle">
    <w:name w:val="Subtitle"/>
    <w:basedOn w:val="Normal1"/>
    <w:next w:val="Normal1"/>
    <w:qFormat w:val="1"/>
    <w:pPr>
      <w:keepNext w:val="1"/>
      <w:keepLines w:val="1"/>
      <w:pageBreakBefore w:val="0"/>
      <w:spacing w:after="320" w:before="0" w:line="240" w:lineRule="auto"/>
    </w:pPr>
    <w:rPr>
      <w:rFonts w:ascii="Arial" w:cs="Arial" w:eastAsia="Arial" w:hAnsi="Arial"/>
      <w:i w:val="0"/>
      <w:color w:val="666666"/>
      <w:sz w:val="30"/>
      <w:szCs w:val="30"/>
    </w:rPr>
  </w:style>
  <w:style w:type="paragraph" w:styleId="HeaderandFooter">
    <w:name w:val="Header and Footer"/>
    <w:basedOn w:val="Normal"/>
    <w:qFormat w:val="1"/>
    <w:pPr/>
    <w:rPr/>
  </w:style>
  <w:style w:type="paragraph" w:styleId="Header">
    <w:name w:val="Header"/>
    <w:basedOn w:val="HeaderandFooter"/>
    <w:pPr/>
    <w:rPr/>
  </w:style>
  <w:style w:type="paragraph" w:styleId="Footer">
    <w:name w:val="Footer"/>
    <w:basedOn w:val="HeaderandFooter"/>
    <w:pPr/>
    <w:rPr/>
  </w:style>
  <w:style w:type="table" w:styleId="TableNormal" w:default="1">
    <w:name w:val="Table Normal"/>
  </w:style>
  <w:style w:type="paragraph" w:styleId="Subtitle">
    <w:name w:val="Subtitle"/>
    <w:basedOn w:val="Normal"/>
    <w:next w:val="Normal"/>
    <w:pPr>
      <w:keepNext w:val="1"/>
      <w:keepLines w:val="1"/>
      <w:pageBreakBefore w:val="0"/>
      <w:spacing w:after="320" w:before="0" w:line="24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00.0" w:type="dxa"/>
        <w:bottom w:w="0.0" w:type="dxa"/>
        <w:right w:w="100.0" w:type="dxa"/>
      </w:tblCellMar>
    </w:tblPr>
  </w:style>
  <w:style w:type="table" w:styleId="Table2">
    <w:basedOn w:val="TableNormal"/>
    <w:tblPr>
      <w:tblStyleRowBandSize w:val="1"/>
      <w:tblStyleColBandSize w:val="1"/>
      <w:tblCellMar>
        <w:top w:w="0.0" w:type="dxa"/>
        <w:left w:w="100.0" w:type="dxa"/>
        <w:bottom w:w="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ypYgurjEJH3nuTgkdr2VDoiQYw==">CgMxLjAyCGguZ2pkZ3hzMgloLjMwajB6bGwyCWguMWZvYjl0ZTgAciExQnREcTE2dkNqUldDbzBWQkVHZUQydUlIclZYaXRvR3M=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