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480" w:after="240"/>
        <w:jc w:val="center"/>
        <w:rPr>
          <w:rFonts w:ascii="Times New Roman" w:hAnsi="Times New Roman" w:eastAsia="Times New Roman" w:cs="Times New Roman"/>
          <w:b/>
          <w:b/>
          <w:color w:val="335B8A"/>
          <w:sz w:val="28"/>
          <w:szCs w:val="28"/>
        </w:rPr>
      </w:pPr>
      <w:r>
        <w:rPr>
          <w:rFonts w:eastAsia="Times New Roman" w:cs="Times New Roman" w:ascii="Times New Roman" w:hAnsi="Times New Roman"/>
          <w:b/>
          <w:color w:val="335B8A"/>
          <w:sz w:val="28"/>
          <w:szCs w:val="28"/>
        </w:rPr>
        <w:t>{Org_Logo}</w:t>
      </w:r>
    </w:p>
    <w:p>
      <w:pPr>
        <w:pStyle w:val="Normal1"/>
        <w:spacing w:lineRule="auto" w:line="240" w:before="480" w:after="240"/>
        <w:jc w:val="center"/>
        <w:rPr>
          <w:rFonts w:ascii="Times New Roman" w:hAnsi="Times New Roman" w:eastAsia="Times New Roman" w:cs="Times New Roman"/>
          <w:b/>
          <w:b/>
          <w:color w:val="335B8A"/>
          <w:sz w:val="28"/>
          <w:szCs w:val="28"/>
        </w:rPr>
      </w:pPr>
      <w:r>
        <w:rPr>
          <w:rFonts w:eastAsia="Times New Roman" w:cs="Times New Roman" w:ascii="Times New Roman" w:hAnsi="Times New Roman"/>
          <w:b/>
          <w:color w:val="335B8A"/>
          <w:sz w:val="28"/>
          <w:szCs w:val="28"/>
        </w:rPr>
        <w:t>Breach Policy</w:t>
      </w:r>
    </w:p>
    <w:p>
      <w:pPr>
        <w:pStyle w:val="Normal1"/>
        <w:spacing w:lineRule="auto" w:line="240" w:before="24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{Org_Name}</w:t>
      </w:r>
    </w:p>
    <w:p>
      <w:pPr>
        <w:pStyle w:val="Normal1"/>
        <w:spacing w:lineRule="auto" w:line="240" w:before="24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{Date_Code}</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1"/>
        <w:tblW w:w="9345" w:type="dxa"/>
        <w:jc w:val="left"/>
        <w:tblInd w:w="0" w:type="dxa"/>
        <w:tblLayout w:type="fixed"/>
        <w:tblCellMar>
          <w:top w:w="0" w:type="dxa"/>
          <w:left w:w="100" w:type="dxa"/>
          <w:bottom w:w="0" w:type="dxa"/>
          <w:right w:w="100" w:type="dxa"/>
        </w:tblCellMar>
        <w:tblLook w:val="0600"/>
      </w:tblPr>
      <w:tblGrid>
        <w:gridCol w:w="2220"/>
        <w:gridCol w:w="7124"/>
      </w:tblGrid>
      <w:tr>
        <w:trPr>
          <w:trHeight w:val="555" w:hRule="atLeast"/>
        </w:trPr>
        <w:tc>
          <w:tcPr>
            <w:tcW w:w="2220" w:type="dxa"/>
            <w:tcBorders>
              <w:top w:val="single" w:sz="10" w:space="0" w:color="878787"/>
              <w:left w:val="single" w:sz="10" w:space="0" w:color="878787"/>
              <w:bottom w:val="single" w:sz="10" w:space="0" w:color="878787"/>
              <w:right w:val="single" w:sz="10"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ISMS No.</w:t>
            </w:r>
          </w:p>
        </w:tc>
        <w:tc>
          <w:tcPr>
            <w:tcW w:w="7124" w:type="dxa"/>
            <w:tcBorders>
              <w:top w:val="single" w:sz="10" w:space="0" w:color="878787"/>
              <w:bottom w:val="single" w:sz="10" w:space="0" w:color="878787"/>
              <w:right w:val="single" w:sz="10" w:space="0" w:color="878787"/>
            </w:tcBorders>
          </w:tcPr>
          <w:p>
            <w:pPr>
              <w:pStyle w:val="Normal1"/>
              <w:widowControl w:val="false"/>
              <w:spacing w:lineRule="auto" w:line="240"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POL-05</w:t>
            </w:r>
          </w:p>
        </w:tc>
      </w:tr>
      <w:tr>
        <w:trPr>
          <w:trHeight w:val="537" w:hRule="atLeast"/>
        </w:trPr>
        <w:tc>
          <w:tcPr>
            <w:tcW w:w="2220" w:type="dxa"/>
            <w:tcBorders>
              <w:left w:val="single" w:sz="10" w:space="0" w:color="878787"/>
              <w:bottom w:val="single" w:sz="10" w:space="0" w:color="878787"/>
              <w:right w:val="single" w:sz="10"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Title</w:t>
            </w:r>
          </w:p>
        </w:tc>
        <w:tc>
          <w:tcPr>
            <w:tcW w:w="7124" w:type="dxa"/>
            <w:tcBorders>
              <w:bottom w:val="single" w:sz="10" w:space="0" w:color="878787"/>
              <w:right w:val="single" w:sz="10" w:space="0" w:color="878787"/>
            </w:tcBorders>
          </w:tcPr>
          <w:p>
            <w:pPr>
              <w:pStyle w:val="Normal1"/>
              <w:widowControl w:val="false"/>
              <w:spacing w:lineRule="auto" w:line="240" w:before="100" w:after="240"/>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Breach Policy</w:t>
            </w:r>
          </w:p>
        </w:tc>
      </w:tr>
      <w:tr>
        <w:trPr>
          <w:trHeight w:val="495" w:hRule="atLeast"/>
        </w:trPr>
        <w:tc>
          <w:tcPr>
            <w:tcW w:w="2220" w:type="dxa"/>
            <w:tcBorders>
              <w:left w:val="single" w:sz="10" w:space="0" w:color="878787"/>
              <w:bottom w:val="single" w:sz="10" w:space="0" w:color="878787"/>
              <w:right w:val="single" w:sz="10"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Revision</w:t>
            </w:r>
          </w:p>
        </w:tc>
        <w:tc>
          <w:tcPr>
            <w:tcW w:w="7124" w:type="dxa"/>
            <w:tcBorders>
              <w:bottom w:val="single" w:sz="10" w:space="0" w:color="878787"/>
              <w:right w:val="single" w:sz="10" w:space="0" w:color="878787"/>
            </w:tcBorders>
          </w:tcPr>
          <w:p>
            <w:pPr>
              <w:pStyle w:val="Normal1"/>
              <w:widowControl w:val="false"/>
              <w:spacing w:lineRule="auto" w:line="240"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r>
      <w:tr>
        <w:trPr>
          <w:trHeight w:val="480" w:hRule="atLeast"/>
        </w:trPr>
        <w:tc>
          <w:tcPr>
            <w:tcW w:w="2220" w:type="dxa"/>
            <w:tcBorders>
              <w:left w:val="single" w:sz="10" w:space="0" w:color="878787"/>
              <w:bottom w:val="single" w:sz="10" w:space="0" w:color="878787"/>
              <w:right w:val="single" w:sz="10"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Effective Date</w:t>
            </w:r>
          </w:p>
        </w:tc>
        <w:tc>
          <w:tcPr>
            <w:tcW w:w="7124" w:type="dxa"/>
            <w:tcBorders>
              <w:bottom w:val="single" w:sz="10" w:space="0" w:color="878787"/>
              <w:right w:val="single" w:sz="10" w:space="0" w:color="878787"/>
            </w:tcBorders>
          </w:tcPr>
          <w:p>
            <w:pPr>
              <w:pStyle w:val="Normal1"/>
              <w:widowControl w:val="false"/>
              <w:spacing w:lineRule="auto" w:line="240"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r>
    </w:tbl>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bl>
      <w:tblPr>
        <w:tblStyle w:val="Table2"/>
        <w:tblW w:w="9345" w:type="dxa"/>
        <w:jc w:val="left"/>
        <w:tblInd w:w="0" w:type="dxa"/>
        <w:tblLayout w:type="fixed"/>
        <w:tblCellMar>
          <w:top w:w="0" w:type="dxa"/>
          <w:left w:w="100" w:type="dxa"/>
          <w:bottom w:w="0" w:type="dxa"/>
          <w:right w:w="100" w:type="dxa"/>
        </w:tblCellMar>
        <w:tblLook w:val="0600"/>
      </w:tblPr>
      <w:tblGrid>
        <w:gridCol w:w="1274"/>
        <w:gridCol w:w="1770"/>
        <w:gridCol w:w="1861"/>
        <w:gridCol w:w="1619"/>
        <w:gridCol w:w="2821"/>
      </w:tblGrid>
      <w:tr>
        <w:trPr>
          <w:trHeight w:val="795" w:hRule="atLeast"/>
        </w:trPr>
        <w:tc>
          <w:tcPr>
            <w:tcW w:w="1274" w:type="dxa"/>
            <w:tcBorders>
              <w:top w:val="single" w:sz="10" w:space="0" w:color="878787"/>
              <w:left w:val="single" w:sz="10" w:space="0" w:color="878787"/>
              <w:bottom w:val="single" w:sz="10" w:space="0" w:color="878787"/>
              <w:right w:val="single" w:sz="10" w:space="0" w:color="878787"/>
            </w:tcBorders>
          </w:tcPr>
          <w:p>
            <w:pPr>
              <w:pStyle w:val="Normal1"/>
              <w:widowControl w:val="false"/>
              <w:spacing w:lineRule="auto" w:line="242" w:before="120" w:after="0"/>
              <w:ind w:left="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Revision No.</w:t>
            </w:r>
          </w:p>
        </w:tc>
        <w:tc>
          <w:tcPr>
            <w:tcW w:w="1770" w:type="dxa"/>
            <w:tcBorders>
              <w:top w:val="single" w:sz="10" w:space="0" w:color="878787"/>
              <w:bottom w:val="single" w:sz="10" w:space="0" w:color="878787"/>
              <w:right w:val="single" w:sz="10" w:space="0" w:color="878787"/>
            </w:tcBorders>
          </w:tcPr>
          <w:p>
            <w:pPr>
              <w:pStyle w:val="Normal1"/>
              <w:widowControl w:val="false"/>
              <w:spacing w:lineRule="auto" w:line="240" w:before="120" w:after="0"/>
              <w:ind w:left="38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Revision Date</w:t>
            </w:r>
          </w:p>
        </w:tc>
        <w:tc>
          <w:tcPr>
            <w:tcW w:w="1861" w:type="dxa"/>
            <w:tcBorders>
              <w:top w:val="single" w:sz="10" w:space="0" w:color="878787"/>
              <w:bottom w:val="single" w:sz="10" w:space="0" w:color="878787"/>
              <w:right w:val="single" w:sz="10" w:space="0" w:color="878787"/>
            </w:tcBorders>
          </w:tcPr>
          <w:p>
            <w:pPr>
              <w:pStyle w:val="Normal1"/>
              <w:widowControl w:val="false"/>
              <w:spacing w:lineRule="auto" w:line="240" w:before="120" w:after="0"/>
              <w:ind w:left="42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Reviewed by</w:t>
            </w:r>
          </w:p>
        </w:tc>
        <w:tc>
          <w:tcPr>
            <w:tcW w:w="1619" w:type="dxa"/>
            <w:tcBorders>
              <w:top w:val="single" w:sz="10" w:space="0" w:color="878787"/>
              <w:bottom w:val="single" w:sz="10" w:space="0" w:color="878787"/>
              <w:right w:val="single" w:sz="10" w:space="0" w:color="878787"/>
            </w:tcBorders>
          </w:tcPr>
          <w:p>
            <w:pPr>
              <w:pStyle w:val="Normal1"/>
              <w:widowControl w:val="false"/>
              <w:spacing w:lineRule="auto" w:line="240" w:before="12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Approved by</w:t>
            </w:r>
          </w:p>
        </w:tc>
        <w:tc>
          <w:tcPr>
            <w:tcW w:w="2821" w:type="dxa"/>
            <w:tcBorders>
              <w:top w:val="single" w:sz="10" w:space="0" w:color="878787"/>
              <w:bottom w:val="single" w:sz="10" w:space="0" w:color="878787"/>
              <w:right w:val="single" w:sz="10" w:space="0" w:color="878787"/>
            </w:tcBorders>
          </w:tcPr>
          <w:p>
            <w:pPr>
              <w:pStyle w:val="Normal1"/>
              <w:widowControl w:val="false"/>
              <w:spacing w:lineRule="auto" w:line="240" w:before="120" w:after="0"/>
              <w:ind w:left="68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Revision Description</w:t>
            </w:r>
          </w:p>
        </w:tc>
      </w:tr>
      <w:tr>
        <w:trPr>
          <w:trHeight w:val="765" w:hRule="atLeast"/>
        </w:trPr>
        <w:tc>
          <w:tcPr>
            <w:tcW w:w="1274" w:type="dxa"/>
            <w:tcBorders>
              <w:left w:val="single" w:sz="10" w:space="0" w:color="878787"/>
              <w:bottom w:val="single" w:sz="10" w:space="0" w:color="878787"/>
              <w:right w:val="single" w:sz="10" w:space="0" w:color="878787"/>
            </w:tcBorders>
          </w:tcPr>
          <w:p>
            <w:pPr>
              <w:pStyle w:val="Normal1"/>
              <w:widowControl w:val="false"/>
              <w:spacing w:lineRule="auto" w:line="240" w:before="100" w:after="0"/>
              <w:ind w:left="140" w:right="360" w:hanging="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1.0</w:t>
            </w:r>
          </w:p>
        </w:tc>
        <w:tc>
          <w:tcPr>
            <w:tcW w:w="1770" w:type="dxa"/>
            <w:tcBorders>
              <w:bottom w:val="single" w:sz="10" w:space="0" w:color="878787"/>
              <w:right w:val="single" w:sz="10" w:space="0" w:color="878787"/>
            </w:tcBorders>
          </w:tcPr>
          <w:p>
            <w:pPr>
              <w:pStyle w:val="Normal1"/>
              <w:widowControl w:val="false"/>
              <w:spacing w:lineRule="auto" w:line="240" w:before="240" w:after="240"/>
              <w:ind w:left="1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c>
          <w:tcPr>
            <w:tcW w:w="1861" w:type="dxa"/>
            <w:tcBorders>
              <w:bottom w:val="single" w:sz="10" w:space="0" w:color="878787"/>
              <w:right w:val="single" w:sz="10" w:space="0" w:color="878787"/>
            </w:tcBorders>
          </w:tcPr>
          <w:p>
            <w:pPr>
              <w:pStyle w:val="Normal1"/>
              <w:widowControl w:val="false"/>
              <w:spacing w:lineRule="auto" w:line="240" w:before="240" w:after="240"/>
              <w:ind w:left="1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c>
          <w:tcPr>
            <w:tcW w:w="1619" w:type="dxa"/>
            <w:tcBorders>
              <w:bottom w:val="single" w:sz="10" w:space="0" w:color="878787"/>
              <w:right w:val="single" w:sz="10" w:space="0" w:color="878787"/>
            </w:tcBorders>
          </w:tcPr>
          <w:p>
            <w:pPr>
              <w:pStyle w:val="Normal1"/>
              <w:widowControl w:val="false"/>
              <w:spacing w:lineRule="auto" w:line="240" w:before="240" w:after="240"/>
              <w:ind w:left="1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c>
          <w:tcPr>
            <w:tcW w:w="2821" w:type="dxa"/>
            <w:tcBorders>
              <w:bottom w:val="single" w:sz="10" w:space="0" w:color="878787"/>
              <w:right w:val="single" w:sz="10" w:space="0" w:color="878787"/>
            </w:tcBorders>
          </w:tcPr>
          <w:p>
            <w:pPr>
              <w:pStyle w:val="Normal1"/>
              <w:widowControl w:val="false"/>
              <w:spacing w:lineRule="auto" w:line="242"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r>
    </w:tbl>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48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0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Table of Content</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05.1 Purpose                                                                                                                                        </w:t>
        <w:tab/>
        <w:t>3</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05.2 Breach Notification Rules                                                                                                           </w:t>
        <w:tab/>
        <w:t>3</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05.3 Breach Policy                                                                                                            </w:t>
        <w:tab/>
        <w:t xml:space="preserve">                        3</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05.3.1 Discovery of Breach                                                                                        </w:t>
        <w:tab/>
        <w:t xml:space="preserve">            4</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05.3.2 Breach Investigation                                                                                                     </w:t>
        <w:tab/>
        <w:t>4</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05.3.3 Risk Assessment                                                                                                          </w:t>
        <w:tab/>
        <w:t>4</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05.3.4 Timeliness of Notification                                                                                              </w:t>
        <w:tab/>
        <w:t>5</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05.3.5 Delay of Notification Authorized for Law Enforcement Purposes                             </w:t>
        <w:tab/>
        <w:t>5</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05.3.6 Content of the Notice                                                                                                   </w:t>
        <w:tab/>
        <w:t>5</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05.3.7 Methods of Notification                                                                                                    </w:t>
        <w:tab/>
        <w:t>6</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05.3.8 Maintenance of Breach Information/Log                                                                          </w:t>
        <w:tab/>
        <w:t>6</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05.3.9 Workforce Training:                                                                                                           </w:t>
        <w:tab/>
        <w:t>6</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05.3.10 Complaints                                                                                                                       </w:t>
        <w:tab/>
        <w:t>6</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05.3.11 Sanctions                                                                                                                           </w:t>
        <w:tab/>
        <w:t>6</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05.3.12 Retaliation/Waiver                                                                                                            </w:t>
        <w:tab/>
        <w:t>7</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05.4 PasS Customer Responsibilities                                                                                                       </w:t>
        <w:tab/>
        <w:t>7</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05.4.1 Notice to Media                                                                                                             </w:t>
        <w:tab/>
        <w:t>7</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05.4.1 Notice to Secretary of HHS                                                                                         </w:t>
        <w:tab/>
        <w:t>7</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05.5 Appendix A                                                                                                                                        </w:t>
        <w:tab/>
        <w:t>8</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05.5.1 Sample Letter to Customers in Case of Breach                                                             </w:t>
        <w:tab/>
        <w:t>8</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b/>
          <w:b/>
          <w:sz w:val="26"/>
          <w:szCs w:val="26"/>
        </w:rPr>
      </w:pPr>
      <w:r>
        <w:rPr>
          <w:rFonts w:eastAsia="Times New Roman" w:cs="Times New Roman" w:ascii="Times New Roman" w:hAnsi="Times New Roman"/>
          <w:b/>
          <w:sz w:val="26"/>
          <w:szCs w:val="26"/>
        </w:rPr>
        <w:t>05.1 Purpose</w:t>
      </w:r>
    </w:p>
    <w:p>
      <w:pPr>
        <w:pStyle w:val="Normal1"/>
        <w:spacing w:lineRule="auto" w:line="240" w:before="180" w:after="180"/>
        <w:ind w:left="1440" w:hanging="0"/>
        <w:rPr>
          <w:rFonts w:ascii="Times New Roman" w:hAnsi="Times New Roman" w:eastAsia="Times New Roman" w:cs="Times New Roman"/>
          <w:sz w:val="24"/>
          <w:szCs w:val="24"/>
          <w:highlight w:val="white"/>
        </w:rPr>
      </w:pPr>
      <w:r>
        <w:rPr>
          <w:rFonts w:eastAsia="Times New Roman" w:cs="Times New Roman" w:ascii="Times New Roman" w:hAnsi="Times New Roman"/>
          <w:sz w:val="24"/>
          <w:szCs w:val="24"/>
          <w:highlight w:val="white"/>
        </w:rPr>
        <w:t>The purpose of this policy is to provide a method of reporting suspected theft, breach, unauthorized acquisition, or exposure of organization-sensitive data to the appropriate departments.</w:t>
      </w:r>
    </w:p>
    <w:p>
      <w:pPr>
        <w:pStyle w:val="Heading1"/>
        <w:keepNext w:val="false"/>
        <w:keepLines w:val="false"/>
        <w:spacing w:lineRule="auto" w:line="240" w:before="180" w:after="180"/>
        <w:rPr>
          <w:rFonts w:ascii="Times New Roman" w:hAnsi="Times New Roman" w:eastAsia="Times New Roman" w:cs="Times New Roman"/>
          <w:b/>
          <w:b/>
          <w:sz w:val="26"/>
          <w:szCs w:val="26"/>
        </w:rPr>
      </w:pPr>
      <w:bookmarkStart w:id="0" w:name="_qccmo5o5kjgy"/>
      <w:bookmarkEnd w:id="0"/>
      <w:r>
        <w:rPr>
          <w:rFonts w:eastAsia="Times New Roman" w:cs="Times New Roman" w:ascii="Times New Roman" w:hAnsi="Times New Roman"/>
          <w:b/>
          <w:sz w:val="26"/>
          <w:szCs w:val="26"/>
        </w:rPr>
        <w:t>05.2 Breach Notification Rules</w:t>
      </w:r>
    </w:p>
    <w:p>
      <w:pPr>
        <w:pStyle w:val="Normal1"/>
        <w:spacing w:lineRule="auto" w:line="240" w:before="180" w:after="18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Different compliance bodies have defined rules for breach notification, like HIPAA, FTC, etc. Breach notification will be carried out in compliance with the following rules</w:t>
      </w:r>
    </w:p>
    <w:p>
      <w:pPr>
        <w:pStyle w:val="Normal1"/>
        <w:spacing w:lineRule="auto" w:line="240" w:before="180" w:after="180"/>
        <w:ind w:left="1440" w:hanging="0"/>
        <w:rPr>
          <w:rFonts w:ascii="Times New Roman" w:hAnsi="Times New Roman" w:eastAsia="Times New Roman" w:cs="Times New Roman"/>
          <w:i/>
          <w:i/>
          <w:sz w:val="24"/>
          <w:szCs w:val="24"/>
        </w:rPr>
      </w:pPr>
      <w:r>
        <w:rPr>
          <w:rFonts w:eastAsia="Times New Roman" w:cs="Times New Roman" w:ascii="Times New Roman" w:hAnsi="Times New Roman"/>
          <w:i/>
          <w:sz w:val="24"/>
          <w:szCs w:val="24"/>
        </w:rPr>
        <w:t>&lt;Choose the applicable rules for your organization from below</w:t>
      </w:r>
      <w:r>
        <w:rPr>
          <w:rFonts w:eastAsia="Times New Roman" w:cs="Times New Roman" w:ascii="Times New Roman" w:hAnsi="Times New Roman"/>
          <w:sz w:val="24"/>
          <w:szCs w:val="24"/>
        </w:rPr>
        <w:t xml:space="preserve">[1] </w:t>
      </w:r>
      <w:r>
        <w:rPr>
          <w:rFonts w:eastAsia="Times New Roman" w:cs="Times New Roman" w:ascii="Times New Roman" w:hAnsi="Times New Roman"/>
          <w:i/>
          <w:sz w:val="24"/>
          <w:szCs w:val="24"/>
        </w:rPr>
        <w:t xml:space="preserve"> set of rules and remove those not required.&gt;</w:t>
      </w:r>
    </w:p>
    <w:p>
      <w:pPr>
        <w:pStyle w:val="Normal1"/>
        <w:spacing w:lineRule="auto" w:line="240" w:before="180" w:after="0"/>
        <w:ind w:left="2520" w:hanging="360"/>
        <w:rPr>
          <w:rFonts w:ascii="Times New Roman" w:hAnsi="Times New Roman" w:eastAsia="Times New Roman" w:cs="Times New Roman"/>
          <w:i/>
          <w:i/>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The American Recovery and Reinvestment Act (ARRA)/Health Information Technology for Economic and Clinical Health Act (HITECH) with any other federal or state notification law.</w:t>
      </w:r>
      <w:r>
        <w:rPr>
          <w:rFonts w:eastAsia="Times New Roman" w:cs="Times New Roman" w:ascii="Times New Roman" w:hAnsi="Times New Roman"/>
          <w:i/>
          <w:sz w:val="24"/>
          <w:szCs w:val="24"/>
        </w:rPr>
        <w:t xml:space="preserve"> (Choose this rule if your organization is handling PHI data.)</w:t>
      </w:r>
    </w:p>
    <w:p>
      <w:pPr>
        <w:pStyle w:val="Normal1"/>
        <w:spacing w:lineRule="auto" w:line="240" w:before="240" w:after="240"/>
        <w:ind w:left="2520" w:hanging="360"/>
        <w:rPr>
          <w:rFonts w:ascii="Times New Roman" w:hAnsi="Times New Roman" w:eastAsia="Times New Roman" w:cs="Times New Roman"/>
          <w:i/>
          <w:i/>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 xml:space="preserve">The Federal Trade Commission (FTC) has published breach notification rules for vendors of personal health records as required by ARRA/HITECH. The FTC rule applies to entities not covered by regulation standards, primarily vendors of personal health records. The rule is effective September 24, 2009, with full compliance required by February 22, 2010. </w:t>
      </w:r>
      <w:r>
        <w:rPr>
          <w:rFonts w:eastAsia="Times New Roman" w:cs="Times New Roman" w:ascii="Times New Roman" w:hAnsi="Times New Roman"/>
          <w:i/>
          <w:sz w:val="24"/>
          <w:szCs w:val="24"/>
        </w:rPr>
        <w:t>(Choose this rule if your organization is handling Financial data.)</w:t>
      </w:r>
    </w:p>
    <w:p>
      <w:pPr>
        <w:pStyle w:val="Normal1"/>
        <w:spacing w:lineRule="auto" w:line="240" w:before="0" w:after="180"/>
        <w:ind w:left="2520" w:hanging="360"/>
        <w:rPr>
          <w:rFonts w:ascii="Times New Roman" w:hAnsi="Times New Roman" w:eastAsia="Times New Roman" w:cs="Times New Roman"/>
          <w:i/>
          <w:i/>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 xml:space="preserve">The American Recovery and Reinvestment Act of 2009 (ARRA) was signed into law on February 17, 2009. Title XIII of ARRA is the Health Information Technology for Economic and Clinical Health Act (HITECH). HITECH significantly impacts the Health Insurance Portability and Accountability (regulation standard ) Privacy and Security Rules. While the regulation standard did not require notification when patient-protected health information (PHI) was inappropriately disclosed, covered entities and business associates may have chosen to include notification as part of the mitigation process. HITECH requires notification of certain breaches of unsecured PHI to the following: individuals, the Department of Health and Human Services (HHS), and the media. The effective implementation for this provision is September 23, 2009 (pending publication of HHS regulations). </w:t>
      </w:r>
      <w:r>
        <w:rPr>
          <w:rFonts w:eastAsia="Times New Roman" w:cs="Times New Roman" w:ascii="Times New Roman" w:hAnsi="Times New Roman"/>
          <w:i/>
          <w:sz w:val="24"/>
          <w:szCs w:val="24"/>
        </w:rPr>
        <w:t>(Choose this rule if your organization is handling PHI data.)</w:t>
      </w:r>
    </w:p>
    <w:p>
      <w:pPr>
        <w:pStyle w:val="Normal1"/>
        <w:spacing w:lineRule="auto" w:line="240" w:before="180" w:after="18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In the case of a breach, the organization shall notify all affected Customers. It is the responsibility of the Customers to notify affected individuals.</w:t>
      </w:r>
    </w:p>
    <w:p>
      <w:pPr>
        <w:pStyle w:val="Heading1"/>
        <w:keepNext w:val="false"/>
        <w:keepLines w:val="false"/>
        <w:spacing w:lineRule="auto" w:line="240" w:before="200" w:after="0"/>
        <w:rPr>
          <w:rFonts w:ascii="Times New Roman" w:hAnsi="Times New Roman" w:eastAsia="Times New Roman" w:cs="Times New Roman"/>
          <w:b/>
          <w:b/>
          <w:sz w:val="26"/>
          <w:szCs w:val="26"/>
        </w:rPr>
      </w:pPr>
      <w:r>
        <w:rPr>
          <w:rFonts w:eastAsia="Times New Roman" w:cs="Times New Roman" w:ascii="Times New Roman" w:hAnsi="Times New Roman"/>
          <w:b/>
          <w:sz w:val="26"/>
          <w:szCs w:val="26"/>
        </w:rPr>
      </w:r>
      <w:bookmarkStart w:id="1" w:name="_gg0ao55ap9nr"/>
      <w:bookmarkStart w:id="2" w:name="_gg0ao55ap9nr"/>
      <w:bookmarkEnd w:id="2"/>
    </w:p>
    <w:p>
      <w:pPr>
        <w:pStyle w:val="Heading1"/>
        <w:keepNext w:val="false"/>
        <w:keepLines w:val="false"/>
        <w:spacing w:lineRule="auto" w:line="240" w:before="200" w:after="0"/>
        <w:rPr>
          <w:rFonts w:ascii="Times New Roman" w:hAnsi="Times New Roman" w:eastAsia="Times New Roman" w:cs="Times New Roman"/>
          <w:b/>
          <w:b/>
          <w:sz w:val="26"/>
          <w:szCs w:val="26"/>
        </w:rPr>
      </w:pPr>
      <w:bookmarkStart w:id="3" w:name="_1z077xppxpxa"/>
      <w:bookmarkEnd w:id="3"/>
      <w:r>
        <w:rPr>
          <w:rFonts w:eastAsia="Times New Roman" w:cs="Times New Roman" w:ascii="Times New Roman" w:hAnsi="Times New Roman"/>
          <w:b/>
          <w:sz w:val="26"/>
          <w:szCs w:val="26"/>
        </w:rPr>
        <w:t>05.3 Breach Policy</w:t>
      </w:r>
    </w:p>
    <w:p>
      <w:pPr>
        <w:pStyle w:val="Normal1"/>
        <w:rPr/>
      </w:pPr>
      <w:r>
        <w:rPr/>
      </w:r>
    </w:p>
    <w:p>
      <w:pPr>
        <w:pStyle w:val="Heading3"/>
        <w:keepNext w:val="false"/>
        <w:keepLines w:val="false"/>
        <w:spacing w:lineRule="auto" w:line="240" w:before="40" w:after="40"/>
        <w:ind w:left="1440" w:hanging="0"/>
        <w:rPr>
          <w:rFonts w:ascii="Times New Roman" w:hAnsi="Times New Roman" w:eastAsia="Times New Roman" w:cs="Times New Roman"/>
          <w:b/>
          <w:b/>
          <w:color w:val="000000"/>
          <w:sz w:val="26"/>
          <w:szCs w:val="26"/>
        </w:rPr>
      </w:pPr>
      <w:bookmarkStart w:id="4" w:name="_j41328898r"/>
      <w:bookmarkEnd w:id="4"/>
      <w:r>
        <w:rPr>
          <w:rFonts w:eastAsia="Times New Roman" w:cs="Times New Roman" w:ascii="Times New Roman" w:hAnsi="Times New Roman"/>
          <w:b/>
          <w:color w:val="000000"/>
          <w:sz w:val="26"/>
          <w:szCs w:val="26"/>
        </w:rPr>
        <w:t>05.3.1 Discovery of Breach</w:t>
      </w:r>
    </w:p>
    <w:p>
      <w:pPr>
        <w:pStyle w:val="Normal1"/>
        <w:spacing w:lineRule="auto" w:line="240" w:before="40" w:after="4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 breach of sensitive data shall be treated as “discovered” as of the first day on which such breach is known to the organization or, by exercising reasonable diligence, would have been known to the organization (includes breaches by the organization’s Customers, Partners, or subcontractors). The organization shall be deemed to know about a breach if such breach is known or by exercising reasonable diligence would have been known to any person, other than the person committing the breach, who is a workforce member or Partner of the organization. Following the discovery of a potential breach, the organization shall begin an investigation (see organizational policies for security incident response and/or risk management incident response) immediately, conduct a risk assessment, and, based on the results of the risk assessment, begin the process to notify each Customer affected by the breach. The organization shall also begin the process of determining what external notifications are required or should be made based on the Breach Notification Rule as mentioned above (e.g., Secretary of Department of Health &amp; Human Services (HHS), media outlets, law enforcement officials, etc.)</w:t>
      </w:r>
    </w:p>
    <w:p>
      <w:pPr>
        <w:pStyle w:val="Normal1"/>
        <w:spacing w:lineRule="auto" w:line="240" w:before="40" w:after="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3"/>
        <w:keepNext w:val="false"/>
        <w:keepLines w:val="false"/>
        <w:spacing w:lineRule="auto" w:line="240" w:before="40" w:after="40"/>
        <w:ind w:left="1440" w:hanging="0"/>
        <w:rPr>
          <w:rFonts w:ascii="Times New Roman" w:hAnsi="Times New Roman" w:eastAsia="Times New Roman" w:cs="Times New Roman"/>
          <w:b/>
          <w:b/>
          <w:color w:val="000000"/>
          <w:sz w:val="26"/>
          <w:szCs w:val="26"/>
        </w:rPr>
      </w:pPr>
      <w:bookmarkStart w:id="5" w:name="_b81dxsu60su4"/>
      <w:bookmarkEnd w:id="5"/>
      <w:r>
        <w:rPr>
          <w:rFonts w:eastAsia="Times New Roman" w:cs="Times New Roman" w:ascii="Times New Roman" w:hAnsi="Times New Roman"/>
          <w:b/>
          <w:color w:val="000000"/>
          <w:sz w:val="26"/>
          <w:szCs w:val="26"/>
        </w:rPr>
        <w:t xml:space="preserve"> </w:t>
      </w:r>
      <w:r>
        <w:rPr>
          <w:rFonts w:eastAsia="Times New Roman" w:cs="Times New Roman" w:ascii="Times New Roman" w:hAnsi="Times New Roman"/>
          <w:b/>
          <w:color w:val="000000"/>
          <w:sz w:val="26"/>
          <w:szCs w:val="26"/>
        </w:rPr>
        <w:t>05.3.2 Breach Investigation</w:t>
      </w:r>
    </w:p>
    <w:p>
      <w:pPr>
        <w:pStyle w:val="Normal1"/>
        <w:spacing w:lineRule="auto" w:line="240" w:before="40" w:after="4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organization Security Officer shall name an individual to act as the investigator of the breach (e.g., privacy officer, security officer, risk manager, etc.). The investigator shall be responsible for the breach investigation, completion of a risk assessment, and coordinating with others in the organization as appropriate (e.g., administration, security incident response team, human resources, risk management, public relations, legal counsel, etc.) The investigator shall be the key facilitator for all breach notification processes to the appropriate entities (e.g., HHS, media, law enforcement officials, etc.). All documentation related to the breach investigation, including the risk assessment, shall be retained for a minimum of six years.</w:t>
      </w:r>
    </w:p>
    <w:p>
      <w:pPr>
        <w:pStyle w:val="Normal1"/>
        <w:spacing w:lineRule="auto" w:line="240" w:before="40" w:after="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3"/>
        <w:keepNext w:val="false"/>
        <w:keepLines w:val="false"/>
        <w:spacing w:lineRule="auto" w:line="240" w:before="40" w:after="40"/>
        <w:ind w:left="1440" w:hanging="0"/>
        <w:rPr>
          <w:rFonts w:ascii="Times New Roman" w:hAnsi="Times New Roman" w:eastAsia="Times New Roman" w:cs="Times New Roman"/>
          <w:b/>
          <w:b/>
          <w:color w:val="000000"/>
          <w:sz w:val="26"/>
          <w:szCs w:val="26"/>
        </w:rPr>
      </w:pPr>
      <w:bookmarkStart w:id="6" w:name="_unt9dwgc1ij5"/>
      <w:bookmarkEnd w:id="6"/>
      <w:r>
        <w:rPr>
          <w:rFonts w:eastAsia="Times New Roman" w:cs="Times New Roman" w:ascii="Times New Roman" w:hAnsi="Times New Roman"/>
          <w:b/>
          <w:color w:val="000000"/>
          <w:sz w:val="26"/>
          <w:szCs w:val="26"/>
        </w:rPr>
        <w:t>05.3.3 Risk Assessment</w:t>
      </w:r>
    </w:p>
    <w:p>
      <w:pPr>
        <w:pStyle w:val="Normal1"/>
        <w:spacing w:lineRule="auto" w:line="240" w:before="40" w:after="4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For an acquisition, access, use, or disclosure of sensitive data to constitute a breach, it must constitute a violation of the regulation standard Privacy Rule. Use or disclosure of sensitive data that is incident to an otherwise permissible use or disclosure and occurs despite reasonable safeguards and proper minimum necessary procedures would not be a violation of the Privacy Rule. It will not qualify as a potential breach. To determine if an impermissible use or disclosure of sensitive data constitutes a breach and requires further notification, the organization will need to perform a risk assessment to determine if there is a significant risk of harm to the individual as a result of the impermissible use or disclosure. The organization shall document the risk assessment as part of the investigation in the incident report form, noting the outcome of the risk assessment process. The organization has the burden of proof for demonstrating that all notifications to appropriate Customers or that the use or disclosure did not constitute a breach. Based on this, the organization will determine the need to move forward with breach notification. The risk assessment and the supporting documentation shall be fact-specific and address the following:</w:t>
      </w:r>
    </w:p>
    <w:p>
      <w:pPr>
        <w:pStyle w:val="Normal1"/>
        <w:spacing w:lineRule="auto" w:line="240" w:before="4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Consideration of who impermissibly used or to whom the information was impermissibly disclosed;</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The type and amount of sensitive data involved;</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The cause of the breach and the entity responsible for the breach, either Customer, organization, or Partner.</w:t>
      </w:r>
    </w:p>
    <w:p>
      <w:pPr>
        <w:pStyle w:val="Normal1"/>
        <w:spacing w:lineRule="auto" w:line="240" w:before="0" w:after="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The potential for significant risk of financial, reputational, or other harm.</w:t>
      </w:r>
    </w:p>
    <w:p>
      <w:pPr>
        <w:pStyle w:val="Normal1"/>
        <w:spacing w:lineRule="auto" w:line="240" w:before="40" w:after="40"/>
        <w:ind w:left="120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3"/>
        <w:keepNext w:val="false"/>
        <w:keepLines w:val="false"/>
        <w:spacing w:lineRule="auto" w:line="240" w:before="40" w:after="40"/>
        <w:ind w:left="1440" w:hanging="0"/>
        <w:rPr>
          <w:rFonts w:ascii="Times New Roman" w:hAnsi="Times New Roman" w:eastAsia="Times New Roman" w:cs="Times New Roman"/>
          <w:b/>
          <w:b/>
          <w:color w:val="000000"/>
          <w:sz w:val="26"/>
          <w:szCs w:val="26"/>
        </w:rPr>
      </w:pPr>
      <w:bookmarkStart w:id="7" w:name="_5f4dnjnwl0o2"/>
      <w:bookmarkEnd w:id="7"/>
      <w:r>
        <w:rPr>
          <w:rFonts w:eastAsia="Times New Roman" w:cs="Times New Roman" w:ascii="Times New Roman" w:hAnsi="Times New Roman"/>
          <w:b/>
          <w:color w:val="000000"/>
          <w:sz w:val="26"/>
          <w:szCs w:val="26"/>
        </w:rPr>
        <w:t>05.3.4 Timeliness of Notification</w:t>
      </w:r>
    </w:p>
    <w:p>
      <w:pPr>
        <w:pStyle w:val="Normal1"/>
        <w:spacing w:lineRule="auto" w:line="240" w:before="40" w:after="4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Upon discovery of a breach, notice shall be made to the affected organization's Customers no later than 4 hours after the discovery of the breach. It is the responsibility of the organization to demonstrate that all notifications were made as required, including evidence demonstrating the necessity of delay.</w:t>
      </w:r>
    </w:p>
    <w:p>
      <w:pPr>
        <w:pStyle w:val="Heading3"/>
        <w:keepNext w:val="false"/>
        <w:keepLines w:val="false"/>
        <w:spacing w:lineRule="auto" w:line="240" w:before="40" w:after="40"/>
        <w:ind w:left="2160" w:hanging="0"/>
        <w:rPr>
          <w:rFonts w:ascii="Times New Roman" w:hAnsi="Times New Roman" w:eastAsia="Times New Roman" w:cs="Times New Roman"/>
          <w:color w:val="000000"/>
          <w:sz w:val="24"/>
          <w:szCs w:val="24"/>
        </w:rPr>
      </w:pPr>
      <w:bookmarkStart w:id="8" w:name="_afkbiox0234l"/>
      <w:bookmarkEnd w:id="8"/>
      <w:r>
        <w:rPr>
          <w:rFonts w:eastAsia="Times New Roman" w:cs="Times New Roman" w:ascii="Times New Roman" w:hAnsi="Times New Roman"/>
          <w:color w:val="000000"/>
          <w:sz w:val="24"/>
          <w:szCs w:val="24"/>
        </w:rPr>
        <w:t>Delay of Notification Authorized for Law Enforcement Purposes</w:t>
      </w:r>
    </w:p>
    <w:p>
      <w:pPr>
        <w:pStyle w:val="Normal1"/>
        <w:spacing w:lineRule="auto" w:line="240" w:before="40" w:after="4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If a law enforcement official states to the organization that a notification, notice, or posting would impede a criminal investigation or cause damage to national security, the organization shall:</w:t>
      </w:r>
    </w:p>
    <w:p>
      <w:pPr>
        <w:pStyle w:val="Normal1"/>
        <w:spacing w:lineRule="auto" w:line="240" w:before="40" w:after="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the statement is in writing and specifies the time for which a delay is required, delay such notification, notice, or posting of the timer period specified by the official or</w:t>
      </w:r>
    </w:p>
    <w:p>
      <w:pPr>
        <w:pStyle w:val="Normal1"/>
        <w:spacing w:lineRule="auto" w:line="240" w:before="0" w:after="4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If the statement is made orally, document the statement, including the identity of the official making the statement, and delay the notification, notice, or posting temporarily and no longer than 30 days from the date of the oral statement unless a written statement as described above is submitted during that time.</w:t>
      </w:r>
    </w:p>
    <w:p>
      <w:pPr>
        <w:pStyle w:val="Normal1"/>
        <w:spacing w:lineRule="auto" w:line="240" w:before="40" w:after="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3"/>
        <w:keepNext w:val="false"/>
        <w:keepLines w:val="false"/>
        <w:spacing w:lineRule="auto" w:line="240" w:before="40" w:after="40"/>
        <w:ind w:left="1440" w:hanging="0"/>
        <w:rPr>
          <w:rFonts w:ascii="Times New Roman" w:hAnsi="Times New Roman" w:eastAsia="Times New Roman" w:cs="Times New Roman"/>
          <w:b/>
          <w:b/>
          <w:color w:val="000000"/>
          <w:sz w:val="26"/>
          <w:szCs w:val="26"/>
        </w:rPr>
      </w:pPr>
      <w:bookmarkStart w:id="9" w:name="_dl32afl8kfuy"/>
      <w:bookmarkEnd w:id="9"/>
      <w:r>
        <w:rPr>
          <w:rFonts w:eastAsia="Times New Roman" w:cs="Times New Roman" w:ascii="Times New Roman" w:hAnsi="Times New Roman"/>
          <w:b/>
          <w:color w:val="000000"/>
          <w:sz w:val="26"/>
          <w:szCs w:val="26"/>
        </w:rPr>
        <w:t>05.3.5 Content of the Notice</w:t>
      </w:r>
    </w:p>
    <w:p>
      <w:pPr>
        <w:pStyle w:val="Normal1"/>
        <w:spacing w:lineRule="auto" w:line="240" w:before="40" w:after="4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notice shall be written in plain language and must contain the following information:</w:t>
      </w:r>
    </w:p>
    <w:p>
      <w:pPr>
        <w:pStyle w:val="Normal1"/>
        <w:spacing w:lineRule="auto" w:line="240" w:before="40" w:after="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 brief description of what happened, including the date of the breach and the date of the discovery of the breach, if known;</w:t>
      </w:r>
    </w:p>
    <w:p>
      <w:pPr>
        <w:pStyle w:val="Normal1"/>
        <w:spacing w:lineRule="auto" w:line="240" w:before="240" w:after="24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A description of the types of unsecured protected health information that were involved in the breach (such as whether full name, Social Security number, date of birth, home address, account number, diagnosis, disability code, or other types of information was involved), if known;</w:t>
      </w:r>
    </w:p>
    <w:p>
      <w:pPr>
        <w:pStyle w:val="Normal1"/>
        <w:spacing w:lineRule="auto" w:line="240" w:before="240" w:after="24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Any steps the Customer should take to protect Customer data from potential harm resulting from the breach.</w:t>
      </w:r>
    </w:p>
    <w:p>
      <w:pPr>
        <w:pStyle w:val="Normal1"/>
        <w:spacing w:lineRule="auto" w:line="240" w:before="240" w:after="24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A brief description of what the organization is doing to investigate the breach, mitigate harm to individuals and Customers, and protect against further breaches.</w:t>
      </w:r>
    </w:p>
    <w:p>
      <w:pPr>
        <w:pStyle w:val="Normal1"/>
        <w:spacing w:lineRule="auto" w:line="240" w:before="0" w:after="4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Contact procedures for individuals to ask questions or learn additional information, which may include a toll-free telephone number, an e-mail address, a website, or a postal address.</w:t>
      </w:r>
    </w:p>
    <w:p>
      <w:pPr>
        <w:pStyle w:val="Normal1"/>
        <w:spacing w:lineRule="auto" w:line="240" w:before="40" w:after="4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3"/>
        <w:keepNext w:val="false"/>
        <w:keepLines w:val="false"/>
        <w:spacing w:lineRule="auto" w:line="240" w:before="40" w:after="40"/>
        <w:ind w:left="1440" w:hanging="0"/>
        <w:rPr>
          <w:rFonts w:ascii="Times New Roman" w:hAnsi="Times New Roman" w:eastAsia="Times New Roman" w:cs="Times New Roman"/>
          <w:b/>
          <w:b/>
          <w:color w:val="000000"/>
          <w:sz w:val="26"/>
          <w:szCs w:val="26"/>
        </w:rPr>
      </w:pPr>
      <w:bookmarkStart w:id="10" w:name="_gnrqc0d2g06f"/>
      <w:bookmarkEnd w:id="10"/>
      <w:r>
        <w:rPr>
          <w:rFonts w:eastAsia="Times New Roman" w:cs="Times New Roman" w:ascii="Times New Roman" w:hAnsi="Times New Roman"/>
          <w:b/>
          <w:color w:val="000000"/>
          <w:sz w:val="26"/>
          <w:szCs w:val="26"/>
        </w:rPr>
        <w:t>05.3.6 Methods of Notification</w:t>
      </w:r>
    </w:p>
    <w:p>
      <w:pPr>
        <w:pStyle w:val="Normal1"/>
        <w:spacing w:lineRule="auto" w:line="240" w:before="40" w:after="4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Organization Customers will be notified via email and phone within the timeframe for reporting breaches.</w:t>
      </w:r>
    </w:p>
    <w:p>
      <w:pPr>
        <w:pStyle w:val="Normal1"/>
        <w:spacing w:lineRule="auto" w:line="240" w:before="40" w:after="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3"/>
        <w:keepNext w:val="false"/>
        <w:keepLines w:val="false"/>
        <w:spacing w:lineRule="auto" w:line="240" w:before="40" w:after="40"/>
        <w:ind w:left="1440" w:hanging="0"/>
        <w:rPr>
          <w:rFonts w:ascii="Times New Roman" w:hAnsi="Times New Roman" w:eastAsia="Times New Roman" w:cs="Times New Roman"/>
          <w:b/>
          <w:b/>
          <w:color w:val="000000"/>
          <w:sz w:val="26"/>
          <w:szCs w:val="26"/>
        </w:rPr>
      </w:pPr>
      <w:bookmarkStart w:id="11" w:name="_hpju15pezt8v"/>
      <w:bookmarkEnd w:id="11"/>
      <w:r>
        <w:rPr>
          <w:rFonts w:eastAsia="Times New Roman" w:cs="Times New Roman" w:ascii="Times New Roman" w:hAnsi="Times New Roman"/>
          <w:b/>
          <w:color w:val="000000"/>
          <w:sz w:val="26"/>
          <w:szCs w:val="26"/>
        </w:rPr>
        <w:t>05.3.7 Maintenance of Breach Information/Log</w:t>
      </w:r>
    </w:p>
    <w:p>
      <w:pPr>
        <w:pStyle w:val="Normal1"/>
        <w:spacing w:lineRule="auto" w:line="240" w:before="40" w:after="4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As described above and in addition to the reports created for each incident, the organization shall maintain a process to record or log all breaches of unsecured sensitive data regardless of the number of records and Customers affected. The following information should be collected/logged for each breach (see sample Breach Notification Log):</w:t>
      </w:r>
    </w:p>
    <w:p>
      <w:pPr>
        <w:pStyle w:val="Normal1"/>
        <w:spacing w:lineRule="auto" w:line="240" w:before="40" w:after="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 description of what happened, including the date and the discovery of the breach as the number of records and Customers affected, if known</w:t>
      </w:r>
    </w:p>
    <w:p>
      <w:pPr>
        <w:pStyle w:val="Normal1"/>
        <w:spacing w:lineRule="auto" w:line="240" w:before="240" w:after="24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A description of the types of unsecured protected health information that were involved in the breach (such as full name, Social Security number, date of birth, home address, account number, etc.), if known</w:t>
      </w:r>
    </w:p>
    <w:p>
      <w:pPr>
        <w:pStyle w:val="Normal1"/>
        <w:spacing w:lineRule="auto" w:line="240" w:before="240" w:after="24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A description of the action taken concerning notification of patients regarding the breach</w:t>
      </w:r>
    </w:p>
    <w:p>
      <w:pPr>
        <w:pStyle w:val="Normal1"/>
        <w:spacing w:lineRule="auto" w:line="240" w:before="0" w:after="4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Resolution steps are taken to mitigate the breach and prevent future occurrences.</w:t>
      </w:r>
    </w:p>
    <w:p>
      <w:pPr>
        <w:pStyle w:val="Normal1"/>
        <w:spacing w:lineRule="auto" w:line="240" w:before="40" w:after="40"/>
        <w:rPr>
          <w:rFonts w:ascii="Times New Roman" w:hAnsi="Times New Roman" w:eastAsia="Times New Roman" w:cs="Times New Roman"/>
          <w:sz w:val="26"/>
          <w:szCs w:val="26"/>
        </w:rPr>
      </w:pPr>
      <w:r>
        <w:rPr>
          <w:rFonts w:eastAsia="Times New Roman" w:cs="Times New Roman" w:ascii="Times New Roman" w:hAnsi="Times New Roman"/>
          <w:sz w:val="24"/>
          <w:szCs w:val="24"/>
        </w:rPr>
        <w:t xml:space="preserve"> </w:t>
      </w:r>
    </w:p>
    <w:p>
      <w:pPr>
        <w:pStyle w:val="Heading3"/>
        <w:keepNext w:val="false"/>
        <w:keepLines w:val="false"/>
        <w:spacing w:lineRule="auto" w:line="240" w:before="40" w:after="40"/>
        <w:ind w:left="1440" w:hanging="0"/>
        <w:rPr>
          <w:rFonts w:ascii="Times New Roman" w:hAnsi="Times New Roman" w:eastAsia="Times New Roman" w:cs="Times New Roman"/>
          <w:b/>
          <w:b/>
          <w:color w:val="000000"/>
          <w:sz w:val="26"/>
          <w:szCs w:val="26"/>
        </w:rPr>
      </w:pPr>
      <w:bookmarkStart w:id="12" w:name="_alspp0tnmp30"/>
      <w:bookmarkEnd w:id="12"/>
      <w:r>
        <w:rPr>
          <w:rFonts w:eastAsia="Times New Roman" w:cs="Times New Roman" w:ascii="Times New Roman" w:hAnsi="Times New Roman"/>
          <w:b/>
          <w:color w:val="000000"/>
          <w:sz w:val="26"/>
          <w:szCs w:val="26"/>
        </w:rPr>
        <w:t>05.3.8 Workforce Training:</w:t>
      </w:r>
    </w:p>
    <w:p>
      <w:pPr>
        <w:pStyle w:val="Normal1"/>
        <w:spacing w:lineRule="auto" w:line="240" w:before="40" w:after="4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organization shall train all members of its workforce on the policies and procedures concerning sensitive data as necessary and appropriate for the members to carry out their job responsibilities. Workforce members shall also be trained to identify and report breaches within the organization.</w:t>
      </w:r>
    </w:p>
    <w:p>
      <w:pPr>
        <w:pStyle w:val="Normal1"/>
        <w:spacing w:lineRule="auto" w:line="240" w:before="40" w:after="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3"/>
        <w:keepNext w:val="false"/>
        <w:keepLines w:val="false"/>
        <w:spacing w:lineRule="auto" w:line="240" w:before="40" w:after="40"/>
        <w:ind w:left="1440" w:hanging="0"/>
        <w:rPr>
          <w:rFonts w:ascii="Times New Roman" w:hAnsi="Times New Roman" w:eastAsia="Times New Roman" w:cs="Times New Roman"/>
          <w:b/>
          <w:b/>
          <w:color w:val="000000"/>
          <w:sz w:val="26"/>
          <w:szCs w:val="26"/>
        </w:rPr>
      </w:pPr>
      <w:bookmarkStart w:id="13" w:name="_7kkunzcmyxnx"/>
      <w:bookmarkEnd w:id="13"/>
      <w:r>
        <w:rPr>
          <w:rFonts w:eastAsia="Times New Roman" w:cs="Times New Roman" w:ascii="Times New Roman" w:hAnsi="Times New Roman"/>
          <w:b/>
          <w:color w:val="000000"/>
          <w:sz w:val="26"/>
          <w:szCs w:val="26"/>
        </w:rPr>
        <w:t>05.3.9 Complaints</w:t>
      </w:r>
    </w:p>
    <w:p>
      <w:pPr>
        <w:pStyle w:val="Heading3"/>
        <w:keepNext w:val="false"/>
        <w:keepLines w:val="false"/>
        <w:spacing w:lineRule="auto" w:line="240" w:before="40" w:after="40"/>
        <w:ind w:left="2160" w:hanging="0"/>
        <w:rPr>
          <w:rFonts w:ascii="Times New Roman" w:hAnsi="Times New Roman" w:eastAsia="Times New Roman" w:cs="Times New Roman"/>
          <w:sz w:val="24"/>
          <w:szCs w:val="24"/>
        </w:rPr>
      </w:pPr>
      <w:bookmarkStart w:id="14" w:name="_c12j1kh3at3q"/>
      <w:bookmarkEnd w:id="14"/>
      <w:r>
        <w:rPr>
          <w:rFonts w:eastAsia="Times New Roman" w:cs="Times New Roman" w:ascii="Times New Roman" w:hAnsi="Times New Roman"/>
          <w:sz w:val="24"/>
          <w:szCs w:val="24"/>
        </w:rPr>
        <w:t>The organization must provide a process for individuals to make complaints concerning the organization’s patient privacy policies and procedures or its compliance with such policies and procedures.</w:t>
      </w:r>
    </w:p>
    <w:p>
      <w:pPr>
        <w:pStyle w:val="Normal1"/>
        <w:spacing w:lineRule="auto" w:line="240" w:before="40" w:after="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3"/>
        <w:keepNext w:val="false"/>
        <w:keepLines w:val="false"/>
        <w:spacing w:lineRule="auto" w:line="240" w:before="40" w:after="40"/>
        <w:ind w:left="1440" w:hanging="0"/>
        <w:rPr>
          <w:rFonts w:ascii="Times New Roman" w:hAnsi="Times New Roman" w:eastAsia="Times New Roman" w:cs="Times New Roman"/>
          <w:b/>
          <w:b/>
          <w:color w:val="000000"/>
          <w:sz w:val="26"/>
          <w:szCs w:val="26"/>
        </w:rPr>
      </w:pPr>
      <w:bookmarkStart w:id="15" w:name="_g0bjbix0p6z7"/>
      <w:bookmarkEnd w:id="15"/>
      <w:r>
        <w:rPr>
          <w:rFonts w:eastAsia="Times New Roman" w:cs="Times New Roman" w:ascii="Times New Roman" w:hAnsi="Times New Roman"/>
          <w:b/>
          <w:color w:val="000000"/>
          <w:sz w:val="26"/>
          <w:szCs w:val="26"/>
        </w:rPr>
        <w:t>05.3.10 Sanctions</w:t>
      </w:r>
    </w:p>
    <w:p>
      <w:pPr>
        <w:pStyle w:val="Normal1"/>
        <w:spacing w:lineRule="auto" w:line="240" w:before="40" w:after="4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organization shall have in place and apply appropriate sanctions against members of its workforce, Customers, and Partners who fail to comply with privacy policies and procedures.</w:t>
      </w:r>
    </w:p>
    <w:p>
      <w:pPr>
        <w:pStyle w:val="Normal1"/>
        <w:spacing w:lineRule="auto" w:line="240" w:before="40" w:after="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3"/>
        <w:keepNext w:val="false"/>
        <w:keepLines w:val="false"/>
        <w:spacing w:lineRule="auto" w:line="240" w:before="40" w:after="40"/>
        <w:ind w:left="1440" w:hanging="0"/>
        <w:rPr>
          <w:rFonts w:ascii="Times New Roman" w:hAnsi="Times New Roman" w:eastAsia="Times New Roman" w:cs="Times New Roman"/>
          <w:b/>
          <w:b/>
          <w:color w:val="000000"/>
          <w:sz w:val="26"/>
          <w:szCs w:val="26"/>
        </w:rPr>
      </w:pPr>
      <w:bookmarkStart w:id="16" w:name="_jext3awvawuz"/>
      <w:bookmarkEnd w:id="16"/>
      <w:r>
        <w:rPr>
          <w:rFonts w:eastAsia="Times New Roman" w:cs="Times New Roman" w:ascii="Times New Roman" w:hAnsi="Times New Roman"/>
          <w:b/>
          <w:color w:val="000000"/>
          <w:sz w:val="26"/>
          <w:szCs w:val="26"/>
        </w:rPr>
        <w:t>05.3.11 Retaliation/Waiver</w:t>
      </w:r>
    </w:p>
    <w:p>
      <w:pPr>
        <w:pStyle w:val="Normal1"/>
        <w:spacing w:lineRule="auto" w:line="240" w:before="40" w:after="4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Organization may not intimidate, threaten, coerce, discriminate against, or take other retaliatory action against any individual for the exercise by the individual of any privacy right. The organization may not require individuals to waive their privacy rights as a condition of the provision of treatment, payment, enrollment in a health plan, or eligibility for benefits.</w:t>
      </w:r>
    </w:p>
    <w:p>
      <w:pPr>
        <w:pStyle w:val="Normal1"/>
        <w:spacing w:lineRule="auto" w:line="240" w:before="40" w:after="4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keepNext w:val="false"/>
        <w:keepLines w:val="false"/>
        <w:spacing w:lineRule="auto" w:line="240" w:before="200" w:after="0"/>
        <w:rPr>
          <w:rFonts w:ascii="Times New Roman" w:hAnsi="Times New Roman" w:eastAsia="Times New Roman" w:cs="Times New Roman"/>
          <w:b/>
          <w:b/>
          <w:sz w:val="26"/>
          <w:szCs w:val="26"/>
        </w:rPr>
      </w:pPr>
      <w:bookmarkStart w:id="17" w:name="_ap92gq4x3as"/>
      <w:bookmarkEnd w:id="17"/>
      <w:r>
        <w:rPr>
          <w:rFonts w:eastAsia="Times New Roman" w:cs="Times New Roman" w:ascii="Times New Roman" w:hAnsi="Times New Roman"/>
          <w:b/>
          <w:sz w:val="26"/>
          <w:szCs w:val="26"/>
        </w:rPr>
        <w:t>05.4 PasS Customer Responsibilities</w:t>
      </w:r>
    </w:p>
    <w:p>
      <w:pPr>
        <w:pStyle w:val="Normal1"/>
        <w:spacing w:lineRule="auto" w:line="276" w:before="240" w:after="240"/>
        <w:ind w:left="1440" w:hanging="0"/>
        <w:rPr>
          <w:rFonts w:ascii="Times New Roman" w:hAnsi="Times New Roman" w:eastAsia="Times New Roman" w:cs="Times New Roman"/>
          <w:i/>
          <w:i/>
          <w:sz w:val="24"/>
          <w:szCs w:val="24"/>
        </w:rPr>
      </w:pPr>
      <w:r>
        <w:rPr>
          <w:rFonts w:eastAsia="Times New Roman" w:cs="Times New Roman" w:ascii="Times New Roman" w:hAnsi="Times New Roman"/>
          <w:i/>
          <w:sz w:val="24"/>
          <w:szCs w:val="24"/>
        </w:rPr>
        <w:t>(This section is required only if the organization has such a provision.)</w:t>
      </w:r>
    </w:p>
    <w:p>
      <w:pPr>
        <w:pStyle w:val="Normal1"/>
        <w:spacing w:lineRule="auto" w:line="240" w:before="40" w:after="4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organization Customer that accesses, maintains, retains, modifies, records, stores, destroys, or otherwise holds, uses, or discloses unsecured sensitive data shall, without unreasonable delay and in no case, later than 60 calendar days after discovery of a breach, notify the organization of such breach. The Customer shall provide an organization with the following information:</w:t>
      </w:r>
    </w:p>
    <w:p>
      <w:pPr>
        <w:pStyle w:val="Normal1"/>
        <w:spacing w:lineRule="auto" w:line="240" w:before="4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 description of what happened, including the date and the discovery of the breach and the number of records and Customers affected, if known</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A description of the types of unsecured protected health information that were involved in the breach (such as full name, Social Security number, date of birth, home address, account number, etc.), if known</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A description of the action taken about notification of patients regarding the breach.</w:t>
      </w:r>
    </w:p>
    <w:p>
      <w:pPr>
        <w:pStyle w:val="Normal1"/>
        <w:spacing w:lineRule="auto" w:line="240" w:before="0" w:after="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Resolution steps are taken to mitigate the breach and prevent future occurrences.</w:t>
      </w:r>
    </w:p>
    <w:p>
      <w:pPr>
        <w:pStyle w:val="Normal1"/>
        <w:spacing w:lineRule="auto" w:line="240" w:before="40" w:after="4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3"/>
        <w:keepNext w:val="false"/>
        <w:keepLines w:val="false"/>
        <w:spacing w:lineRule="auto" w:line="240" w:before="40" w:after="40"/>
        <w:ind w:left="1440" w:hanging="0"/>
        <w:rPr>
          <w:rFonts w:ascii="Times New Roman" w:hAnsi="Times New Roman" w:eastAsia="Times New Roman" w:cs="Times New Roman"/>
          <w:b/>
          <w:b/>
          <w:color w:val="000000"/>
          <w:sz w:val="26"/>
          <w:szCs w:val="26"/>
        </w:rPr>
      </w:pPr>
      <w:bookmarkStart w:id="18" w:name="_3r5g3qykykkt"/>
      <w:bookmarkEnd w:id="18"/>
      <w:r>
        <w:rPr>
          <w:rFonts w:eastAsia="Times New Roman" w:cs="Times New Roman" w:ascii="Times New Roman" w:hAnsi="Times New Roman"/>
          <w:b/>
          <w:color w:val="000000"/>
          <w:sz w:val="26"/>
          <w:szCs w:val="26"/>
        </w:rPr>
        <w:t>05.4.1 Notice to Media</w:t>
      </w:r>
    </w:p>
    <w:p>
      <w:pPr>
        <w:pStyle w:val="Normal1"/>
        <w:spacing w:lineRule="auto" w:line="240" w:before="40" w:after="4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Organization Customers are responsible for providing notice to prominent media outlets at the Customer's discretion.</w:t>
      </w:r>
    </w:p>
    <w:p>
      <w:pPr>
        <w:pStyle w:val="Normal1"/>
        <w:spacing w:lineRule="auto" w:line="240" w:before="40" w:after="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3"/>
        <w:keepNext w:val="false"/>
        <w:keepLines w:val="false"/>
        <w:spacing w:lineRule="auto" w:line="240" w:before="40" w:after="40"/>
        <w:ind w:left="1440" w:hanging="0"/>
        <w:rPr>
          <w:rFonts w:ascii="Times New Roman" w:hAnsi="Times New Roman" w:eastAsia="Times New Roman" w:cs="Times New Roman"/>
          <w:b/>
          <w:b/>
          <w:color w:val="000000"/>
          <w:sz w:val="26"/>
          <w:szCs w:val="26"/>
        </w:rPr>
      </w:pPr>
      <w:bookmarkStart w:id="19" w:name="_617a6xjr2ck2"/>
      <w:bookmarkEnd w:id="19"/>
      <w:r>
        <w:rPr>
          <w:rFonts w:eastAsia="Times New Roman" w:cs="Times New Roman" w:ascii="Times New Roman" w:hAnsi="Times New Roman"/>
          <w:b/>
          <w:color w:val="000000"/>
          <w:sz w:val="26"/>
          <w:szCs w:val="26"/>
        </w:rPr>
        <w:t>05.4.2 Notice to Secretary of HHS</w:t>
      </w:r>
    </w:p>
    <w:p>
      <w:pPr>
        <w:pStyle w:val="Normal1"/>
        <w:spacing w:lineRule="auto" w:line="240" w:before="40" w:after="4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Organization: Customers are responsible for providing notice to the Secretary of HHS at the Customer's discretion.</w:t>
      </w:r>
    </w:p>
    <w:p>
      <w:pPr>
        <w:pStyle w:val="Normal1"/>
        <w:spacing w:lineRule="auto" w:line="240" w:before="40" w:after="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1"/>
        <w:keepNext w:val="false"/>
        <w:keepLines w:val="false"/>
        <w:spacing w:lineRule="auto" w:line="240" w:before="20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20" w:name="_oq1shjyonse5"/>
      <w:bookmarkStart w:id="21" w:name="_oq1shjyonse5"/>
      <w:bookmarkEnd w:id="21"/>
    </w:p>
    <w:p>
      <w:pPr>
        <w:pStyle w:val="Heading1"/>
        <w:keepNext w:val="false"/>
        <w:keepLines w:val="false"/>
        <w:spacing w:lineRule="auto" w:line="240" w:before="200" w:after="0"/>
        <w:rPr>
          <w:rFonts w:ascii="Times New Roman" w:hAnsi="Times New Roman" w:eastAsia="Times New Roman" w:cs="Times New Roman"/>
          <w:b/>
          <w:b/>
          <w:sz w:val="26"/>
          <w:szCs w:val="26"/>
        </w:rPr>
      </w:pPr>
      <w:bookmarkStart w:id="22" w:name="_uq5dk886dzxp"/>
      <w:bookmarkEnd w:id="22"/>
      <w:r>
        <w:rPr>
          <w:rFonts w:eastAsia="Times New Roman" w:cs="Times New Roman" w:ascii="Times New Roman" w:hAnsi="Times New Roman"/>
          <w:b/>
          <w:sz w:val="26"/>
          <w:szCs w:val="26"/>
        </w:rPr>
        <w:t>05.5 Appendix A</w:t>
      </w:r>
    </w:p>
    <w:p>
      <w:pPr>
        <w:pStyle w:val="Heading3"/>
        <w:keepNext w:val="false"/>
        <w:keepLines w:val="false"/>
        <w:spacing w:lineRule="auto" w:line="240" w:before="200" w:after="0"/>
        <w:ind w:left="1440" w:hanging="0"/>
        <w:rPr>
          <w:rFonts w:ascii="Times New Roman" w:hAnsi="Times New Roman" w:eastAsia="Times New Roman" w:cs="Times New Roman"/>
          <w:b/>
          <w:b/>
          <w:color w:val="000000"/>
          <w:sz w:val="26"/>
          <w:szCs w:val="26"/>
        </w:rPr>
      </w:pPr>
      <w:bookmarkStart w:id="23" w:name="_auvz21i458z8"/>
      <w:bookmarkEnd w:id="23"/>
      <w:r>
        <w:rPr>
          <w:rFonts w:eastAsia="Times New Roman" w:cs="Times New Roman" w:ascii="Times New Roman" w:hAnsi="Times New Roman"/>
          <w:b/>
          <w:color w:val="000000"/>
          <w:sz w:val="26"/>
          <w:szCs w:val="26"/>
        </w:rPr>
        <w:t>05.5.1 Sample Letter to Customers in Case of Breach</w:t>
      </w:r>
    </w:p>
    <w:p>
      <w:pPr>
        <w:pStyle w:val="Normal1"/>
        <w:spacing w:lineRule="auto" w:line="240" w:before="180" w:after="18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[Date]</w:t>
      </w:r>
    </w:p>
    <w:p>
      <w:pPr>
        <w:pStyle w:val="Normal1"/>
        <w:spacing w:lineRule="auto" w:line="240" w:before="180" w:after="18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[Name here][Address 1 Here] [Address 2 Here][City, State Zip Code]</w:t>
      </w:r>
    </w:p>
    <w:p>
      <w:pPr>
        <w:pStyle w:val="Normal1"/>
        <w:spacing w:lineRule="auto" w:line="240" w:before="180" w:after="18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Dear [Name of Customer]:</w:t>
      </w:r>
    </w:p>
    <w:p>
      <w:pPr>
        <w:pStyle w:val="Normal1"/>
        <w:spacing w:lineRule="auto" w:line="240" w:before="180" w:after="18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 am writing to you from the organization, Inc., with important information about a recent breach that affects your account with us. We became aware of this breach on [Insert Date], which occurred on or about [Insert Date]. The breach occurred as follows:</w:t>
      </w:r>
    </w:p>
    <w:p>
      <w:pPr>
        <w:pStyle w:val="Normal1"/>
        <w:spacing w:lineRule="auto" w:line="240" w:before="180" w:after="18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Describe events and include the following information: A. A brief description of what happened, including the date of the breach and the date of the discovery of the breach, if known. B. A description of the types of unsecured protected health information that were involved in the breach (such as full name, Social Security number, date of birth, home address, account number, diagnosis, disability code, or other types of information), if known. C. Any steps the Customer should take to protect themselves from potential harm resulting from the breach. D. A brief description of what the organization is doing to investigate the breach, mitigate harm to individuals, and protect against further breaches. E. Contact procedures for individuals to ask questions or learn additional information, like a toll-free telephone number, an e-mail address, a website, or a postal address.</w:t>
      </w:r>
    </w:p>
    <w:p>
      <w:pPr>
        <w:pStyle w:val="Normal1"/>
        <w:spacing w:lineRule="auto" w:line="240" w:before="180" w:after="18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Other Optional Considerations:</w:t>
      </w:r>
    </w:p>
    <w:p>
      <w:pPr>
        <w:pStyle w:val="Normal1"/>
        <w:spacing w:lineRule="auto" w:line="240" w:before="40" w:after="40"/>
        <w:ind w:left="3120" w:hanging="48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Recommendations to assist customers in remedying the breach.</w:t>
      </w:r>
    </w:p>
    <w:p>
      <w:pPr>
        <w:pStyle w:val="Normal1"/>
        <w:spacing w:lineRule="auto" w:line="240" w:before="180" w:after="18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We will assist you in remedying the situation.</w:t>
      </w:r>
    </w:p>
    <w:p>
      <w:pPr>
        <w:pStyle w:val="Normal1"/>
        <w:spacing w:lineRule="auto" w:line="240" w:before="180" w:after="18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Sincerely,</w:t>
      </w:r>
    </w:p>
    <w:p>
      <w:pPr>
        <w:pStyle w:val="Normal1"/>
        <w:spacing w:lineRule="auto" w:line="240" w:before="180" w:after="18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[Name of MD], MD organization, Inc [Mail Address][Mobile No]</w:t>
      </w:r>
    </w:p>
    <w:p>
      <w:pPr>
        <w:pStyle w:val="Normal1"/>
        <w:spacing w:lineRule="auto" w:line="276" w:before="240" w:after="240"/>
        <w:ind w:left="2160" w:hanging="0"/>
        <w:rPr>
          <w:rFonts w:ascii="Times New Roman" w:hAnsi="Times New Roman" w:eastAsia="Times New Roman" w:cs="Times New Roman"/>
          <w:sz w:val="24"/>
          <w:szCs w:val="24"/>
        </w:rPr>
      </w:pPr>
      <w:r>
        <w:rPr/>
        <mc:AlternateContent>
          <mc:Choice Requires="wps">
            <w:drawing>
              <wp:inline distT="0" distB="0" distL="0" distR="0">
                <wp:extent cx="6858000" cy="19050"/>
                <wp:effectExtent l="0" t="0" r="0" b="152400"/>
                <wp:docPr id="1" name=""/>
                <a:graphic xmlns:a="http://schemas.openxmlformats.org/drawingml/2006/main">
                  <a:graphicData uri="http://schemas.microsoft.com/office/word/2010/wordprocessingShape">
                    <wps:wsp>
                      <wps:cNvSpPr/>
                      <wps:nvSpPr>
                        <wps:cNvPr id="0" name=""/>
                        <wps:cNvSpPr/>
                      </wps:nvSpPr>
                      <wps:spPr>
                        <a:xfrm>
                          <a:off x="0" y="0"/>
                          <a:ext cx="6858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539.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spacing w:lineRule="auto" w:line="240" w:before="240" w:after="24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Can we provide guidelines as to how to choose? For instance, based on PHI, PII, Financial, etc.</w:t>
      </w:r>
    </w:p>
    <w:p>
      <w:pPr>
        <w:pStyle w:val="Normal1"/>
        <w:spacing w:lineRule="auto" w:line="276" w:before="240" w:after="24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2160" w:hanging="0"/>
        <w:rPr>
          <w:rFonts w:ascii="Times New Roman" w:hAnsi="Times New Roman" w:eastAsia="Times New Roman" w:cs="Times New Roman"/>
          <w:sz w:val="24"/>
          <w:szCs w:val="24"/>
        </w:rPr>
      </w:pPr>
      <w:r>
        <w:rPr/>
      </w:r>
    </w:p>
    <w:sectPr>
      <w:headerReference w:type="default" r:id="rId2"/>
      <w:footerReference w:type="default" r:id="rId3"/>
      <w:type w:val="nextPage"/>
      <w:pgSz w:w="12240" w:h="15840"/>
      <w:pgMar w:left="720" w:right="720" w:gutter="0" w:header="720" w:top="1080" w:footer="720" w:bottom="108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8</Pages>
  <Words>2114</Words>
  <Characters>11845</Characters>
  <CharactersWithSpaces>15973</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2024-03-26T16:21:25Z</dcterms:modified>
  <cp:revision>1</cp:revision>
  <dc:subject/>
  <dc:title/>
</cp:coreProperties>
</file>